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39FE8" w14:textId="77777777" w:rsidR="009A2209" w:rsidRPr="009A040F" w:rsidRDefault="009A2209" w:rsidP="009A2209">
      <w:pPr>
        <w:rPr>
          <w:sz w:val="22"/>
          <w:szCs w:val="22"/>
        </w:rPr>
      </w:pPr>
      <w:bookmarkStart w:id="0" w:name="_GoBack"/>
      <w:bookmarkEnd w:id="0"/>
      <w:r w:rsidRPr="009A040F">
        <w:rPr>
          <w:sz w:val="22"/>
          <w:szCs w:val="22"/>
        </w:rPr>
        <w:t>Teacher: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   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="009A040F">
        <w:rPr>
          <w:sz w:val="22"/>
          <w:szCs w:val="22"/>
        </w:rPr>
        <w:tab/>
      </w:r>
      <w:r w:rsidRPr="009A040F">
        <w:rPr>
          <w:sz w:val="22"/>
          <w:szCs w:val="22"/>
        </w:rPr>
        <w:t>Date:</w:t>
      </w:r>
      <w:r w:rsidRPr="009A040F">
        <w:rPr>
          <w:sz w:val="22"/>
          <w:szCs w:val="22"/>
        </w:rPr>
        <w:tab/>
        <w:t xml:space="preserve">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Year Group (and set): </w:t>
      </w:r>
    </w:p>
    <w:p w14:paraId="4BBA5116" w14:textId="77777777" w:rsidR="00175567" w:rsidRPr="009A040F" w:rsidRDefault="009A2209" w:rsidP="009A2209">
      <w:pPr>
        <w:rPr>
          <w:sz w:val="22"/>
          <w:szCs w:val="22"/>
        </w:rPr>
      </w:pPr>
      <w:r w:rsidRPr="009A040F">
        <w:rPr>
          <w:sz w:val="22"/>
          <w:szCs w:val="22"/>
        </w:rPr>
        <w:t>Observer: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     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 xml:space="preserve">School:     </w:t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</w:r>
      <w:r w:rsidRPr="009A040F">
        <w:rPr>
          <w:sz w:val="22"/>
          <w:szCs w:val="22"/>
        </w:rPr>
        <w:tab/>
        <w:t>Language:</w:t>
      </w:r>
    </w:p>
    <w:p w14:paraId="45C58F9C" w14:textId="77777777" w:rsidR="009A040F" w:rsidRPr="009A040F" w:rsidRDefault="009A040F" w:rsidP="009A040F">
      <w:pPr>
        <w:pBdr>
          <w:bottom w:val="single" w:sz="12" w:space="1" w:color="000000"/>
        </w:pBdr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t>Lesson learning objective:</w:t>
      </w:r>
    </w:p>
    <w:p w14:paraId="47232C9D" w14:textId="77777777" w:rsidR="009A040F" w:rsidRPr="009A040F" w:rsidRDefault="009A040F" w:rsidP="009A040F">
      <w:pPr>
        <w:spacing w:after="0" w:line="240" w:lineRule="auto"/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t>NB: There is no expectation that all these elements would be present in one lesson.</w:t>
      </w:r>
      <w:r w:rsidRPr="009A040F">
        <w:rPr>
          <w:rFonts w:eastAsia="Arial" w:cs="Arial"/>
          <w:b/>
          <w:sz w:val="19"/>
          <w:szCs w:val="19"/>
        </w:rPr>
        <w:tab/>
        <w:t xml:space="preserve">    </w:t>
      </w:r>
      <w:r w:rsidRPr="009A040F">
        <w:rPr>
          <w:rFonts w:eastAsia="Arial" w:cs="Arial"/>
          <w:b/>
          <w:sz w:val="19"/>
          <w:szCs w:val="19"/>
        </w:rPr>
        <w:tab/>
      </w:r>
      <w:r>
        <w:rPr>
          <w:rFonts w:eastAsia="Arial" w:cs="Arial"/>
          <w:b/>
          <w:sz w:val="19"/>
          <w:szCs w:val="19"/>
        </w:rPr>
        <w:tab/>
      </w:r>
      <w:r w:rsidRPr="009A040F">
        <w:rPr>
          <w:rFonts w:eastAsia="Arial" w:cs="Arial"/>
          <w:b/>
          <w:sz w:val="19"/>
          <w:szCs w:val="19"/>
        </w:rPr>
        <w:t xml:space="preserve">Comments (e.g. on the amount, frequency, or nature of </w:t>
      </w:r>
    </w:p>
    <w:p w14:paraId="2B734DD1" w14:textId="77777777" w:rsidR="00175567" w:rsidRPr="009A040F" w:rsidRDefault="009A040F" w:rsidP="009A040F">
      <w:pPr>
        <w:ind w:left="8640" w:firstLine="720"/>
        <w:rPr>
          <w:sz w:val="19"/>
          <w:szCs w:val="19"/>
        </w:rPr>
      </w:pPr>
      <w:proofErr w:type="gramStart"/>
      <w:r w:rsidRPr="009A040F">
        <w:rPr>
          <w:rFonts w:eastAsia="Arial" w:cs="Arial"/>
          <w:b/>
          <w:sz w:val="19"/>
          <w:szCs w:val="19"/>
        </w:rPr>
        <w:t>activities</w:t>
      </w:r>
      <w:proofErr w:type="gramEnd"/>
      <w:r w:rsidRPr="009A040F">
        <w:rPr>
          <w:rFonts w:eastAsia="Arial" w:cs="Arial"/>
          <w:b/>
          <w:sz w:val="19"/>
          <w:szCs w:val="19"/>
        </w:rPr>
        <w:t xml:space="preserve"> observed): </w:t>
      </w:r>
      <w:r w:rsidRPr="009A040F">
        <w:rPr>
          <w:rFonts w:eastAsia="Arial" w:cs="Arial"/>
          <w:sz w:val="19"/>
          <w:szCs w:val="19"/>
        </w:rPr>
        <w:t>Use additional paper, if required.</w:t>
      </w:r>
      <w:r w:rsidRPr="009A040F">
        <w:rPr>
          <w:rFonts w:ascii="Arial" w:eastAsia="Arial" w:hAnsi="Arial" w:cs="Arial"/>
          <w:b/>
          <w:sz w:val="19"/>
          <w:szCs w:val="19"/>
        </w:rPr>
        <w:tab/>
      </w:r>
    </w:p>
    <w:p w14:paraId="017D090C" w14:textId="5F5F8B47" w:rsidR="009A040F" w:rsidRPr="009A040F" w:rsidRDefault="00032640" w:rsidP="009A040F">
      <w:pPr>
        <w:rPr>
          <w:rFonts w:eastAsia="Arial" w:cs="Arial"/>
          <w:b/>
          <w:sz w:val="19"/>
          <w:szCs w:val="19"/>
        </w:rPr>
      </w:pPr>
      <w:r w:rsidRPr="009A040F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03D2595" wp14:editId="6F6EFE94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3755390" cy="5114925"/>
                <wp:effectExtent l="0" t="0" r="16510" b="28575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DD4AC6" w14:textId="77777777" w:rsidR="009A040F" w:rsidRDefault="009A040F" w:rsidP="009A040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3D2595" id="Rectangle 2" o:spid="_x0000_s1026" style="position:absolute;margin-left:244.5pt;margin-top:4.3pt;width:295.7pt;height:402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9DD4AC6" w14:textId="77777777" w:rsidR="009A040F" w:rsidRDefault="009A040F" w:rsidP="009A040F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A040F" w:rsidRPr="009A040F">
        <w:rPr>
          <w:rFonts w:eastAsia="Arial" w:cs="Arial"/>
          <w:b/>
          <w:sz w:val="19"/>
          <w:szCs w:val="19"/>
        </w:rPr>
        <w:t>From this lesson, there is evidence that the learners:</w:t>
      </w:r>
    </w:p>
    <w:p w14:paraId="34D0B4BA" w14:textId="589FF6A6" w:rsidR="009A040F" w:rsidRPr="009A040F" w:rsidRDefault="009A040F" w:rsidP="009A040F">
      <w:pPr>
        <w:numPr>
          <w:ilvl w:val="0"/>
          <w:numId w:val="1"/>
        </w:numPr>
        <w:spacing w:after="0" w:line="240" w:lineRule="auto"/>
        <w:rPr>
          <w:i/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understand and use grammatical terminology, building on knowledge from KS2</w:t>
      </w:r>
      <w:r w:rsidR="00032640">
        <w:rPr>
          <w:rFonts w:eastAsia="Arial" w:cs="Arial"/>
          <w:sz w:val="19"/>
          <w:szCs w:val="19"/>
        </w:rPr>
        <w:t xml:space="preserve">      </w:t>
      </w:r>
      <w:r w:rsidR="006674C7">
        <w:rPr>
          <w:rFonts w:eastAsia="Arial" w:cs="Arial"/>
          <w:b/>
          <w:color w:val="ED7D31" w:themeColor="accent2"/>
          <w:sz w:val="19"/>
          <w:szCs w:val="19"/>
        </w:rPr>
        <w:t>G</w:t>
      </w:r>
      <w:r w:rsidR="00032640" w:rsidRPr="00032640">
        <w:rPr>
          <w:rFonts w:eastAsia="Arial" w:cs="Arial"/>
          <w:b/>
          <w:color w:val="ED7D31" w:themeColor="accent2"/>
          <w:sz w:val="19"/>
          <w:szCs w:val="19"/>
        </w:rPr>
        <w:t>1</w:t>
      </w:r>
    </w:p>
    <w:p w14:paraId="45B21338" w14:textId="0BC61A8C" w:rsidR="009A040F" w:rsidRPr="009A040F" w:rsidRDefault="009A040F" w:rsidP="009A040F">
      <w:pPr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understand explicit and succinct descriptions of </w:t>
      </w:r>
      <w:r w:rsidR="00A56EF3">
        <w:rPr>
          <w:rFonts w:eastAsia="Arial" w:cs="Arial"/>
          <w:sz w:val="19"/>
          <w:szCs w:val="19"/>
        </w:rPr>
        <w:t xml:space="preserve">the </w:t>
      </w:r>
      <w:r w:rsidRPr="009A040F">
        <w:rPr>
          <w:rFonts w:eastAsia="Arial" w:cs="Arial"/>
          <w:sz w:val="19"/>
          <w:szCs w:val="19"/>
        </w:rPr>
        <w:t>target grammar feature</w:t>
      </w:r>
      <w:r>
        <w:rPr>
          <w:rFonts w:eastAsia="Arial" w:cs="Arial"/>
          <w:sz w:val="19"/>
          <w:szCs w:val="19"/>
        </w:rPr>
        <w:t>s</w:t>
      </w:r>
      <w:r w:rsidR="00032640">
        <w:rPr>
          <w:rFonts w:eastAsia="Arial" w:cs="Arial"/>
          <w:sz w:val="19"/>
          <w:szCs w:val="19"/>
        </w:rPr>
        <w:t xml:space="preserve">      </w:t>
      </w:r>
      <w:r w:rsidR="006674C7">
        <w:rPr>
          <w:rFonts w:eastAsia="Arial" w:cs="Arial"/>
          <w:b/>
          <w:color w:val="ED7D31" w:themeColor="accent2"/>
          <w:sz w:val="19"/>
          <w:szCs w:val="19"/>
        </w:rPr>
        <w:t>G</w:t>
      </w:r>
      <w:r w:rsidR="00032640" w:rsidRPr="00032640">
        <w:rPr>
          <w:rFonts w:eastAsia="Arial" w:cs="Arial"/>
          <w:b/>
          <w:color w:val="ED7D31" w:themeColor="accent2"/>
          <w:sz w:val="19"/>
          <w:szCs w:val="19"/>
        </w:rPr>
        <w:t>2</w:t>
      </w:r>
    </w:p>
    <w:p w14:paraId="5B9833E8" w14:textId="49F510F9" w:rsidR="009A040F" w:rsidRPr="009A040F" w:rsidRDefault="009A040F" w:rsidP="009A040F">
      <w:pPr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bookmarkStart w:id="1" w:name="_gjdgxs" w:colFirst="0" w:colLast="0"/>
      <w:bookmarkEnd w:id="1"/>
      <w:r w:rsidRPr="009A040F">
        <w:rPr>
          <w:rFonts w:eastAsia="Arial" w:cs="Arial"/>
          <w:sz w:val="19"/>
          <w:szCs w:val="19"/>
        </w:rPr>
        <w:t xml:space="preserve">understand how one target feature compares with another feature to illustrate their different meanings (e.g. </w:t>
      </w:r>
      <w:r w:rsidRPr="009A040F">
        <w:rPr>
          <w:rFonts w:eastAsia="Arial" w:cs="Arial"/>
          <w:i/>
          <w:sz w:val="19"/>
          <w:szCs w:val="19"/>
        </w:rPr>
        <w:t xml:space="preserve">je </w:t>
      </w:r>
      <w:proofErr w:type="spellStart"/>
      <w:r w:rsidRPr="009A040F">
        <w:rPr>
          <w:rFonts w:eastAsia="Arial" w:cs="Arial"/>
          <w:i/>
          <w:sz w:val="19"/>
          <w:szCs w:val="19"/>
        </w:rPr>
        <w:t>fais</w:t>
      </w:r>
      <w:proofErr w:type="spellEnd"/>
      <w:r w:rsidRPr="009A040F">
        <w:rPr>
          <w:rFonts w:eastAsia="Arial" w:cs="Arial"/>
          <w:sz w:val="19"/>
          <w:szCs w:val="19"/>
        </w:rPr>
        <w:t xml:space="preserve"> versus </w:t>
      </w:r>
      <w:proofErr w:type="spellStart"/>
      <w:r w:rsidRPr="009A040F">
        <w:rPr>
          <w:rFonts w:eastAsia="Arial" w:cs="Arial"/>
          <w:i/>
          <w:sz w:val="19"/>
          <w:szCs w:val="19"/>
        </w:rPr>
        <w:t>j’ai</w:t>
      </w:r>
      <w:proofErr w:type="spellEnd"/>
      <w:r w:rsidRPr="009A040F">
        <w:rPr>
          <w:rFonts w:eastAsia="Arial" w:cs="Arial"/>
          <w:i/>
          <w:sz w:val="19"/>
          <w:szCs w:val="19"/>
        </w:rPr>
        <w:t xml:space="preserve"> fait; der Hund </w:t>
      </w:r>
      <w:r w:rsidRPr="009A040F">
        <w:rPr>
          <w:rFonts w:eastAsia="Arial" w:cs="Arial"/>
          <w:sz w:val="19"/>
          <w:szCs w:val="19"/>
        </w:rPr>
        <w:t xml:space="preserve">versus </w:t>
      </w:r>
      <w:r w:rsidRPr="009A040F">
        <w:rPr>
          <w:rFonts w:eastAsia="Arial" w:cs="Arial"/>
          <w:i/>
          <w:sz w:val="19"/>
          <w:szCs w:val="19"/>
        </w:rPr>
        <w:t>den Hund</w:t>
      </w:r>
      <w:r w:rsidRPr="009A040F">
        <w:rPr>
          <w:rFonts w:eastAsia="Arial" w:cs="Arial"/>
          <w:sz w:val="19"/>
          <w:szCs w:val="19"/>
        </w:rPr>
        <w:t>)</w:t>
      </w:r>
      <w:r w:rsidR="00032640">
        <w:rPr>
          <w:rFonts w:eastAsia="Arial" w:cs="Arial"/>
          <w:sz w:val="19"/>
          <w:szCs w:val="19"/>
        </w:rPr>
        <w:t xml:space="preserve">      </w:t>
      </w:r>
      <w:r w:rsidR="006674C7">
        <w:rPr>
          <w:rFonts w:eastAsia="Arial" w:cs="Arial"/>
          <w:b/>
          <w:color w:val="ED7D31" w:themeColor="accent2"/>
          <w:sz w:val="19"/>
          <w:szCs w:val="19"/>
        </w:rPr>
        <w:t>G</w:t>
      </w:r>
      <w:r w:rsidR="00032640" w:rsidRPr="00032640">
        <w:rPr>
          <w:rFonts w:eastAsia="Arial" w:cs="Arial"/>
          <w:b/>
          <w:color w:val="ED7D31" w:themeColor="accent2"/>
          <w:sz w:val="19"/>
          <w:szCs w:val="19"/>
        </w:rPr>
        <w:t>3</w:t>
      </w:r>
    </w:p>
    <w:p w14:paraId="790C244B" w14:textId="59990F6D" w:rsidR="009A040F" w:rsidRPr="009A040F" w:rsidRDefault="009A040F" w:rsidP="009A040F">
      <w:pPr>
        <w:numPr>
          <w:ilvl w:val="0"/>
          <w:numId w:val="1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understand problems </w:t>
      </w:r>
      <w:r>
        <w:rPr>
          <w:rFonts w:eastAsia="Arial" w:cs="Arial"/>
          <w:sz w:val="19"/>
          <w:szCs w:val="19"/>
        </w:rPr>
        <w:t>they</w:t>
      </w:r>
      <w:r w:rsidRPr="009A040F">
        <w:rPr>
          <w:rFonts w:eastAsia="Arial" w:cs="Arial"/>
          <w:sz w:val="19"/>
          <w:szCs w:val="19"/>
        </w:rPr>
        <w:t xml:space="preserve"> might have, including complex L1-L2 differences </w:t>
      </w:r>
      <w:r w:rsidR="00032640">
        <w:rPr>
          <w:rFonts w:eastAsia="Arial" w:cs="Arial"/>
          <w:sz w:val="19"/>
          <w:szCs w:val="19"/>
        </w:rPr>
        <w:tab/>
        <w:t xml:space="preserve"> </w:t>
      </w:r>
      <w:r w:rsidR="006674C7">
        <w:rPr>
          <w:rFonts w:eastAsia="Arial" w:cs="Arial"/>
          <w:b/>
          <w:color w:val="ED7D31" w:themeColor="accent2"/>
          <w:sz w:val="19"/>
          <w:szCs w:val="19"/>
        </w:rPr>
        <w:t>G</w:t>
      </w:r>
      <w:r w:rsidR="00032640" w:rsidRPr="00032640">
        <w:rPr>
          <w:rFonts w:eastAsia="Arial" w:cs="Arial"/>
          <w:b/>
          <w:color w:val="ED7D31" w:themeColor="accent2"/>
          <w:sz w:val="19"/>
          <w:szCs w:val="19"/>
        </w:rPr>
        <w:t>4</w:t>
      </w:r>
    </w:p>
    <w:p w14:paraId="61D9495B" w14:textId="5FF1A2CF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undertake ‘input practice’, distinguishing the two features and their meanings / functions in reading AND listening (where sounds make a difference)</w:t>
      </w:r>
      <w:r w:rsidR="00032640">
        <w:rPr>
          <w:rFonts w:eastAsia="Arial" w:cs="Arial"/>
          <w:sz w:val="19"/>
          <w:szCs w:val="19"/>
        </w:rPr>
        <w:t xml:space="preserve">      </w:t>
      </w:r>
      <w:r w:rsidR="006674C7">
        <w:rPr>
          <w:rFonts w:eastAsia="Arial" w:cs="Arial"/>
          <w:b/>
          <w:color w:val="ED7D31" w:themeColor="accent2"/>
          <w:sz w:val="19"/>
          <w:szCs w:val="19"/>
        </w:rPr>
        <w:t>G</w:t>
      </w:r>
      <w:r w:rsidR="00032640" w:rsidRPr="00032640">
        <w:rPr>
          <w:rFonts w:eastAsia="Arial" w:cs="Arial"/>
          <w:b/>
          <w:color w:val="ED7D31" w:themeColor="accent2"/>
          <w:sz w:val="19"/>
          <w:szCs w:val="19"/>
        </w:rPr>
        <w:t>5</w:t>
      </w:r>
    </w:p>
    <w:p w14:paraId="67E0087D" w14:textId="53FFD3B6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encounter the grammar features with a </w:t>
      </w:r>
      <w:r w:rsidRPr="009A040F">
        <w:rPr>
          <w:rFonts w:eastAsia="Arial" w:cs="Arial"/>
          <w:i/>
          <w:sz w:val="19"/>
          <w:szCs w:val="19"/>
        </w:rPr>
        <w:t>varied lexicon</w:t>
      </w:r>
      <w:r w:rsidRPr="009A040F">
        <w:rPr>
          <w:rFonts w:eastAsia="Arial" w:cs="Arial"/>
          <w:sz w:val="19"/>
          <w:szCs w:val="19"/>
        </w:rPr>
        <w:t xml:space="preserve"> (e.g., a range of high frequency verbs, or nouns), whilst focusing their attention on the meaning of the grammar features</w:t>
      </w:r>
      <w:r w:rsidR="00032640">
        <w:rPr>
          <w:rFonts w:eastAsia="Arial" w:cs="Arial"/>
          <w:sz w:val="19"/>
          <w:szCs w:val="19"/>
        </w:rPr>
        <w:t xml:space="preserve">     </w:t>
      </w:r>
      <w:r w:rsidR="006674C7">
        <w:rPr>
          <w:rFonts w:eastAsia="Arial" w:cs="Arial"/>
          <w:b/>
          <w:color w:val="ED7D31" w:themeColor="accent2"/>
          <w:sz w:val="19"/>
          <w:szCs w:val="19"/>
        </w:rPr>
        <w:t>G</w:t>
      </w:r>
      <w:r w:rsidR="00032640" w:rsidRPr="00032640">
        <w:rPr>
          <w:rFonts w:eastAsia="Arial" w:cs="Arial"/>
          <w:b/>
          <w:color w:val="ED7D31" w:themeColor="accent2"/>
          <w:sz w:val="19"/>
          <w:szCs w:val="19"/>
        </w:rPr>
        <w:t>6</w:t>
      </w:r>
    </w:p>
    <w:p w14:paraId="18B29AD9" w14:textId="1869D844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receive corrective feedback, item by item wherever possible</w:t>
      </w:r>
      <w:r w:rsidR="00032640">
        <w:rPr>
          <w:rFonts w:eastAsia="Arial" w:cs="Arial"/>
          <w:sz w:val="19"/>
          <w:szCs w:val="19"/>
        </w:rPr>
        <w:t xml:space="preserve">      </w:t>
      </w:r>
      <w:r w:rsidR="006674C7">
        <w:rPr>
          <w:rFonts w:eastAsia="Arial" w:cs="Arial"/>
          <w:b/>
          <w:color w:val="ED7D31" w:themeColor="accent2"/>
          <w:sz w:val="19"/>
          <w:szCs w:val="19"/>
        </w:rPr>
        <w:t>G</w:t>
      </w:r>
      <w:r w:rsidR="00032640" w:rsidRPr="00032640">
        <w:rPr>
          <w:rFonts w:eastAsia="Arial" w:cs="Arial"/>
          <w:b/>
          <w:color w:val="ED7D31" w:themeColor="accent2"/>
          <w:sz w:val="19"/>
          <w:szCs w:val="19"/>
        </w:rPr>
        <w:t>7</w:t>
      </w:r>
    </w:p>
    <w:p w14:paraId="16EB3ED7" w14:textId="2F9A78CE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 xml:space="preserve">after input practice, </w:t>
      </w:r>
      <w:r w:rsidR="003D7AD8" w:rsidRPr="009A040F">
        <w:rPr>
          <w:rFonts w:eastAsia="Arial" w:cs="Arial"/>
          <w:sz w:val="19"/>
          <w:szCs w:val="19"/>
        </w:rPr>
        <w:t>practi</w:t>
      </w:r>
      <w:r w:rsidR="003D7AD8">
        <w:rPr>
          <w:rFonts w:eastAsia="Arial" w:cs="Arial"/>
          <w:sz w:val="19"/>
          <w:szCs w:val="19"/>
        </w:rPr>
        <w:t>s</w:t>
      </w:r>
      <w:r w:rsidR="003D7AD8" w:rsidRPr="009A040F">
        <w:rPr>
          <w:rFonts w:eastAsia="Arial" w:cs="Arial"/>
          <w:sz w:val="19"/>
          <w:szCs w:val="19"/>
        </w:rPr>
        <w:t xml:space="preserve">e </w:t>
      </w:r>
      <w:r w:rsidRPr="009A040F">
        <w:rPr>
          <w:rFonts w:eastAsia="Arial" w:cs="Arial"/>
          <w:i/>
          <w:sz w:val="19"/>
          <w:szCs w:val="19"/>
        </w:rPr>
        <w:t>producing</w:t>
      </w:r>
      <w:r w:rsidRPr="009A040F">
        <w:rPr>
          <w:rFonts w:eastAsia="Arial" w:cs="Arial"/>
          <w:sz w:val="19"/>
          <w:szCs w:val="19"/>
        </w:rPr>
        <w:t xml:space="preserve"> the target features at phrase or sentence level, in speech and writing, in activities where the feature is essential to communicate meaning</w:t>
      </w:r>
      <w:r w:rsidR="00032640">
        <w:rPr>
          <w:rFonts w:eastAsia="Arial" w:cs="Arial"/>
          <w:sz w:val="19"/>
          <w:szCs w:val="19"/>
        </w:rPr>
        <w:t xml:space="preserve">      </w:t>
      </w:r>
      <w:r w:rsidR="006674C7">
        <w:rPr>
          <w:rFonts w:eastAsia="Arial" w:cs="Arial"/>
          <w:b/>
          <w:color w:val="ED7D31" w:themeColor="accent2"/>
          <w:sz w:val="19"/>
          <w:szCs w:val="19"/>
        </w:rPr>
        <w:t>G</w:t>
      </w:r>
      <w:r w:rsidR="00032640" w:rsidRPr="00032640">
        <w:rPr>
          <w:rFonts w:eastAsia="Arial" w:cs="Arial"/>
          <w:b/>
          <w:color w:val="ED7D31" w:themeColor="accent2"/>
          <w:sz w:val="19"/>
          <w:szCs w:val="19"/>
        </w:rPr>
        <w:t>8</w:t>
      </w:r>
    </w:p>
    <w:p w14:paraId="59D686EF" w14:textId="541930FB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after substantial practice, move on to freer production, in speech and writing, where learners must retrieve the grammar feature from memory to communicate meaning</w:t>
      </w:r>
      <w:r w:rsidR="00032640">
        <w:rPr>
          <w:rFonts w:eastAsia="Arial" w:cs="Arial"/>
          <w:sz w:val="19"/>
          <w:szCs w:val="19"/>
        </w:rPr>
        <w:t xml:space="preserve">      </w:t>
      </w:r>
      <w:r w:rsidR="006674C7">
        <w:rPr>
          <w:rFonts w:eastAsia="Arial" w:cs="Arial"/>
          <w:b/>
          <w:color w:val="ED7D31" w:themeColor="accent2"/>
          <w:sz w:val="19"/>
          <w:szCs w:val="19"/>
        </w:rPr>
        <w:t>G</w:t>
      </w:r>
      <w:r w:rsidR="00032640" w:rsidRPr="00032640">
        <w:rPr>
          <w:rFonts w:eastAsia="Arial" w:cs="Arial"/>
          <w:b/>
          <w:color w:val="ED7D31" w:themeColor="accent2"/>
          <w:sz w:val="19"/>
          <w:szCs w:val="19"/>
        </w:rPr>
        <w:t>9</w:t>
      </w:r>
    </w:p>
    <w:p w14:paraId="16036DF2" w14:textId="77777777" w:rsidR="009A040F" w:rsidRPr="009A040F" w:rsidRDefault="009A040F" w:rsidP="009A040F">
      <w:pPr>
        <w:rPr>
          <w:rFonts w:eastAsia="Arial" w:cs="Arial"/>
          <w:b/>
          <w:sz w:val="19"/>
          <w:szCs w:val="19"/>
        </w:rPr>
      </w:pPr>
      <w:r w:rsidRPr="009A040F">
        <w:rPr>
          <w:rFonts w:eastAsia="Arial" w:cs="Arial"/>
          <w:b/>
          <w:sz w:val="19"/>
          <w:szCs w:val="19"/>
        </w:rPr>
        <w:br/>
        <w:t>From this lesson, there is evidence that the teacher has:</w:t>
      </w:r>
    </w:p>
    <w:p w14:paraId="1C9D9EB4" w14:textId="6578E539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ensured that other ‘cues’ for the target meaning/function are removed (e.g. temporal adverbs if both adverbs and the grammar convey tense; intonation if both intonation and word order convey the interrogative function)</w:t>
      </w:r>
      <w:r w:rsidR="00032640">
        <w:rPr>
          <w:rFonts w:eastAsia="Arial" w:cs="Arial"/>
          <w:sz w:val="19"/>
          <w:szCs w:val="19"/>
        </w:rPr>
        <w:t xml:space="preserve">      </w:t>
      </w:r>
      <w:r w:rsidR="006674C7">
        <w:rPr>
          <w:rFonts w:eastAsia="Arial" w:cs="Arial"/>
          <w:b/>
          <w:color w:val="ED7D31" w:themeColor="accent2"/>
          <w:sz w:val="19"/>
          <w:szCs w:val="19"/>
        </w:rPr>
        <w:t>G</w:t>
      </w:r>
      <w:r w:rsidR="00032640" w:rsidRPr="00032640">
        <w:rPr>
          <w:rFonts w:eastAsia="Arial" w:cs="Arial"/>
          <w:b/>
          <w:color w:val="ED7D31" w:themeColor="accent2"/>
          <w:sz w:val="19"/>
          <w:szCs w:val="19"/>
        </w:rPr>
        <w:t>10</w:t>
      </w:r>
    </w:p>
    <w:p w14:paraId="65DE254C" w14:textId="032B9C8E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guided learners’ production of the grammar feature in free writing or speech, as appropriate</w:t>
      </w:r>
      <w:r w:rsidR="006674C7">
        <w:rPr>
          <w:rFonts w:eastAsia="Arial" w:cs="Arial"/>
          <w:sz w:val="19"/>
          <w:szCs w:val="19"/>
        </w:rPr>
        <w:t xml:space="preserve">  </w:t>
      </w:r>
      <w:r w:rsidR="006674C7">
        <w:rPr>
          <w:rFonts w:eastAsia="Arial" w:cs="Arial"/>
          <w:b/>
          <w:color w:val="ED7D31" w:themeColor="accent2"/>
          <w:sz w:val="19"/>
          <w:szCs w:val="19"/>
        </w:rPr>
        <w:t>G</w:t>
      </w:r>
      <w:r w:rsidR="00032640" w:rsidRPr="00032640">
        <w:rPr>
          <w:rFonts w:eastAsia="Arial" w:cs="Arial"/>
          <w:b/>
          <w:color w:val="ED7D31" w:themeColor="accent2"/>
          <w:sz w:val="19"/>
          <w:szCs w:val="19"/>
        </w:rPr>
        <w:t>11</w:t>
      </w:r>
    </w:p>
    <w:p w14:paraId="1649C082" w14:textId="69317135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ensured grammar features are revisited at frequent, planned intervals</w:t>
      </w:r>
      <w:r w:rsidR="00032640">
        <w:rPr>
          <w:rFonts w:eastAsia="Arial" w:cs="Arial"/>
          <w:sz w:val="19"/>
          <w:szCs w:val="19"/>
        </w:rPr>
        <w:t xml:space="preserve">      </w:t>
      </w:r>
      <w:r w:rsidR="006674C7">
        <w:rPr>
          <w:rFonts w:eastAsia="Arial" w:cs="Arial"/>
          <w:b/>
          <w:color w:val="ED7D31" w:themeColor="accent2"/>
          <w:sz w:val="19"/>
          <w:szCs w:val="19"/>
        </w:rPr>
        <w:t>G</w:t>
      </w:r>
      <w:r w:rsidR="00032640" w:rsidRPr="00032640">
        <w:rPr>
          <w:rFonts w:eastAsia="Arial" w:cs="Arial"/>
          <w:b/>
          <w:color w:val="ED7D31" w:themeColor="accent2"/>
          <w:sz w:val="19"/>
          <w:szCs w:val="19"/>
        </w:rPr>
        <w:t>12</w:t>
      </w:r>
    </w:p>
    <w:p w14:paraId="266B0449" w14:textId="28D0E9DA" w:rsidR="009A040F" w:rsidRPr="009A040F" w:rsidRDefault="009A040F" w:rsidP="009A040F">
      <w:pPr>
        <w:numPr>
          <w:ilvl w:val="0"/>
          <w:numId w:val="2"/>
        </w:numPr>
        <w:spacing w:after="0" w:line="240" w:lineRule="auto"/>
        <w:rPr>
          <w:sz w:val="19"/>
          <w:szCs w:val="19"/>
        </w:rPr>
      </w:pPr>
      <w:r w:rsidRPr="009A040F">
        <w:rPr>
          <w:rFonts w:eastAsia="Arial" w:cs="Arial"/>
          <w:sz w:val="19"/>
          <w:szCs w:val="19"/>
        </w:rPr>
        <w:t>assessed grammar knowledge formally (in planned tests) and informally (spontaneously in class)</w:t>
      </w:r>
      <w:r w:rsidR="00032640">
        <w:rPr>
          <w:rFonts w:eastAsia="Arial" w:cs="Arial"/>
          <w:sz w:val="19"/>
          <w:szCs w:val="19"/>
        </w:rPr>
        <w:t xml:space="preserve"> </w:t>
      </w:r>
      <w:r w:rsidR="00032640">
        <w:rPr>
          <w:rFonts w:eastAsia="Arial" w:cs="Arial"/>
          <w:sz w:val="19"/>
          <w:szCs w:val="19"/>
        </w:rPr>
        <w:tab/>
      </w:r>
      <w:r w:rsidR="00032640">
        <w:rPr>
          <w:rFonts w:eastAsia="Arial" w:cs="Arial"/>
          <w:sz w:val="19"/>
          <w:szCs w:val="19"/>
        </w:rPr>
        <w:tab/>
      </w:r>
      <w:r w:rsidR="00032640">
        <w:rPr>
          <w:rFonts w:eastAsia="Arial" w:cs="Arial"/>
          <w:sz w:val="19"/>
          <w:szCs w:val="19"/>
        </w:rPr>
        <w:tab/>
      </w:r>
      <w:r w:rsidR="00032640">
        <w:rPr>
          <w:rFonts w:eastAsia="Arial" w:cs="Arial"/>
          <w:sz w:val="19"/>
          <w:szCs w:val="19"/>
        </w:rPr>
        <w:tab/>
      </w:r>
      <w:r w:rsidR="00032640">
        <w:rPr>
          <w:rFonts w:eastAsia="Arial" w:cs="Arial"/>
          <w:sz w:val="19"/>
          <w:szCs w:val="19"/>
        </w:rPr>
        <w:tab/>
      </w:r>
      <w:r w:rsidR="00032640">
        <w:rPr>
          <w:rFonts w:eastAsia="Arial" w:cs="Arial"/>
          <w:sz w:val="19"/>
          <w:szCs w:val="19"/>
        </w:rPr>
        <w:tab/>
      </w:r>
      <w:r w:rsidR="00032640">
        <w:rPr>
          <w:rFonts w:eastAsia="Arial" w:cs="Arial"/>
          <w:sz w:val="19"/>
          <w:szCs w:val="19"/>
        </w:rPr>
        <w:tab/>
      </w:r>
      <w:r w:rsidR="00032640">
        <w:rPr>
          <w:rFonts w:eastAsia="Arial" w:cs="Arial"/>
          <w:sz w:val="19"/>
          <w:szCs w:val="19"/>
        </w:rPr>
        <w:tab/>
      </w:r>
      <w:r w:rsidR="00032640">
        <w:rPr>
          <w:rFonts w:eastAsia="Arial" w:cs="Arial"/>
          <w:sz w:val="19"/>
          <w:szCs w:val="19"/>
        </w:rPr>
        <w:tab/>
      </w:r>
      <w:r w:rsidR="00032640">
        <w:rPr>
          <w:rFonts w:eastAsia="Arial" w:cs="Arial"/>
          <w:sz w:val="19"/>
          <w:szCs w:val="19"/>
        </w:rPr>
        <w:tab/>
      </w:r>
      <w:r w:rsidR="00032640">
        <w:rPr>
          <w:rFonts w:eastAsia="Arial" w:cs="Arial"/>
          <w:sz w:val="19"/>
          <w:szCs w:val="19"/>
        </w:rPr>
        <w:tab/>
        <w:t xml:space="preserve">            </w:t>
      </w:r>
      <w:r w:rsidR="006674C7">
        <w:rPr>
          <w:rFonts w:eastAsia="Arial" w:cs="Arial"/>
          <w:b/>
          <w:color w:val="ED7D31" w:themeColor="accent2"/>
          <w:sz w:val="19"/>
          <w:szCs w:val="19"/>
        </w:rPr>
        <w:t>G</w:t>
      </w:r>
      <w:r w:rsidR="00032640" w:rsidRPr="00032640">
        <w:rPr>
          <w:rFonts w:eastAsia="Arial" w:cs="Arial"/>
          <w:b/>
          <w:color w:val="ED7D31" w:themeColor="accent2"/>
          <w:sz w:val="19"/>
          <w:szCs w:val="19"/>
        </w:rPr>
        <w:t>13</w:t>
      </w:r>
    </w:p>
    <w:p w14:paraId="72901BD0" w14:textId="77777777" w:rsidR="009A040F" w:rsidRPr="009A040F" w:rsidRDefault="009A040F" w:rsidP="009A040F">
      <w:pPr>
        <w:rPr>
          <w:rFonts w:eastAsia="Arial" w:cs="Arial"/>
          <w:sz w:val="20"/>
          <w:szCs w:val="20"/>
        </w:rPr>
      </w:pPr>
    </w:p>
    <w:tbl>
      <w:tblPr>
        <w:tblStyle w:val="1"/>
        <w:tblpPr w:leftFromText="180" w:rightFromText="180" w:vertAnchor="text" w:tblpY="-6"/>
        <w:tblW w:w="15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75"/>
        <w:gridCol w:w="8150"/>
      </w:tblGrid>
      <w:tr w:rsidR="003D7AD8" w:rsidRPr="003D7AD8" w14:paraId="2D4A3CE8" w14:textId="77777777" w:rsidTr="003D7AD8"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41AA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b/>
                <w:sz w:val="20"/>
                <w:szCs w:val="20"/>
              </w:rPr>
              <w:lastRenderedPageBreak/>
              <w:t>Questions following the lesson / teaching sequence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D627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b/>
                <w:sz w:val="20"/>
                <w:szCs w:val="20"/>
              </w:rPr>
              <w:t>Discussion notes</w:t>
            </w:r>
          </w:p>
        </w:tc>
      </w:tr>
      <w:tr w:rsidR="003D7AD8" w:rsidRPr="003D7AD8" w14:paraId="5CC84B82" w14:textId="77777777" w:rsidTr="003D7AD8"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669A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1. In your lesson, to what extent do you think that learners successfully:  </w:t>
            </w:r>
          </w:p>
          <w:p w14:paraId="2DDFDF03" w14:textId="77777777" w:rsidR="003D7AD8" w:rsidRPr="003D7AD8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learnt</w:t>
            </w:r>
            <w:proofErr w:type="gramEnd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 new grammar features?  </w:t>
            </w:r>
          </w:p>
          <w:p w14:paraId="007B515B" w14:textId="77777777" w:rsidR="003D7AD8" w:rsidRPr="003D7AD8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consolidated</w:t>
            </w:r>
            <w:proofErr w:type="gramEnd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 knowledge of previously taught grammar features?  </w:t>
            </w:r>
          </w:p>
          <w:p w14:paraId="15ECCCAE" w14:textId="77777777" w:rsidR="003D7AD8" w:rsidRPr="003D7AD8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developed</w:t>
            </w:r>
            <w:proofErr w:type="gramEnd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 accurate use of grammar knowledge in comprehension and production, in oral and written modalities?</w:t>
            </w:r>
          </w:p>
          <w:p w14:paraId="3874E0AA" w14:textId="77777777" w:rsidR="003D7AD8" w:rsidRPr="003D7AD8" w:rsidRDefault="003D7AD8" w:rsidP="003D7AD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gramStart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developed</w:t>
            </w:r>
            <w:proofErr w:type="gramEnd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 fluency/automaticity? </w:t>
            </w:r>
          </w:p>
          <w:p w14:paraId="76DBBA9A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66928A33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2. How do you know? </w:t>
            </w:r>
          </w:p>
          <w:p w14:paraId="1ECCA1DE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B6A853C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3. What aspects of grammar learning and teaching are you pleased with? </w:t>
            </w:r>
          </w:p>
          <w:p w14:paraId="3086227E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4E6117E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4. What do you think are the next steps for this class in terms of their grammar development? </w:t>
            </w:r>
          </w:p>
          <w:p w14:paraId="2939E0D2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C72AE29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5. What would help you to further ensure that previously taught grammar features are consolidated and revisited systematically?</w:t>
            </w:r>
          </w:p>
          <w:p w14:paraId="46901484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06FD995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6. To what extent are learners gaining from the following approaches to developing their grammar knowledge</w:t>
            </w:r>
            <w:proofErr w:type="gramStart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?:</w:t>
            </w:r>
            <w:proofErr w:type="gramEnd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  </w:t>
            </w:r>
          </w:p>
          <w:p w14:paraId="7DFAE37F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providing succinct explanations of new grammar features  </w:t>
            </w:r>
          </w:p>
          <w:p w14:paraId="1CF66C16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comparing two grammar features with contrasting meanings / functions  </w:t>
            </w:r>
          </w:p>
          <w:p w14:paraId="349D3FAA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initially practising the grammar features in reading and listening when the features are essential for understanding meaning</w:t>
            </w:r>
          </w:p>
          <w:p w14:paraId="0FA03507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providing extensive </w:t>
            </w:r>
            <w:proofErr w:type="spellStart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scaffolded</w:t>
            </w:r>
            <w:proofErr w:type="spellEnd"/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 production practice, gradually introducing meaningful, freer production practice</w:t>
            </w:r>
          </w:p>
          <w:p w14:paraId="101EFFF9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regular re-visiting (i.e., spaced practice)  </w:t>
            </w:r>
          </w:p>
          <w:p w14:paraId="104EB04D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using the grammar feature in multiple contexts (oral, written, comprehension and production)</w:t>
            </w:r>
          </w:p>
          <w:p w14:paraId="35CE4055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doing information gap tasks, where production of the target feature is essential to communicate meaning </w:t>
            </w:r>
          </w:p>
          <w:p w14:paraId="4486C5DC" w14:textId="77777777" w:rsidR="003D7AD8" w:rsidRPr="003D7AD8" w:rsidRDefault="003D7AD8" w:rsidP="003D7A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 xml:space="preserve">short, regular assessments to check learning is incremental </w:t>
            </w:r>
          </w:p>
          <w:p w14:paraId="01615F9E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color w:val="FF0000"/>
                <w:sz w:val="20"/>
                <w:szCs w:val="20"/>
              </w:rPr>
            </w:pPr>
          </w:p>
          <w:p w14:paraId="3824AF93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D7AD8">
              <w:rPr>
                <w:rFonts w:ascii="Century Gothic" w:eastAsia="Arial" w:hAnsi="Century Gothic" w:cs="Arial"/>
                <w:sz w:val="20"/>
                <w:szCs w:val="20"/>
              </w:rPr>
              <w:t>7. Are there any aspects of grammar teaching that you want to develop further?</w:t>
            </w:r>
          </w:p>
        </w:tc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6464" w14:textId="77777777" w:rsidR="003D7AD8" w:rsidRPr="003D7AD8" w:rsidRDefault="003D7AD8" w:rsidP="003D7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</w:tbl>
    <w:p w14:paraId="5F8223CD" w14:textId="77777777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B3566A">
      <w:headerReference w:type="default" r:id="rId8"/>
      <w:footerReference w:type="default" r:id="rId9"/>
      <w:pgSz w:w="16838" w:h="11906" w:orient="landscape"/>
      <w:pgMar w:top="709" w:right="395" w:bottom="42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A21A4" w14:textId="77777777" w:rsidR="00D84B8E" w:rsidRDefault="00D84B8E" w:rsidP="00180B91">
      <w:pPr>
        <w:spacing w:after="0" w:line="240" w:lineRule="auto"/>
      </w:pPr>
      <w:r>
        <w:separator/>
      </w:r>
    </w:p>
  </w:endnote>
  <w:endnote w:type="continuationSeparator" w:id="0">
    <w:p w14:paraId="48F61825" w14:textId="77777777" w:rsidR="00D84B8E" w:rsidRDefault="00D84B8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28CB" w14:textId="77777777" w:rsidR="00282F0B" w:rsidRDefault="00FD2709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C35AD" wp14:editId="4EB2ED40">
              <wp:simplePos x="0" y="0"/>
              <wp:positionH relativeFrom="column">
                <wp:posOffset>3259455</wp:posOffset>
              </wp:positionH>
              <wp:positionV relativeFrom="paragraph">
                <wp:posOffset>170815</wp:posOffset>
              </wp:positionV>
              <wp:extent cx="47244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2C1FD" w14:textId="77777777" w:rsidR="009A4B6E" w:rsidRPr="00FD2709" w:rsidRDefault="00FD2709" w:rsidP="00FD2709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FD2709">
                            <w:rPr>
                              <w:color w:val="FFFFFF" w:themeColor="background1"/>
                              <w:sz w:val="24"/>
                            </w:rPr>
                            <w:t>Emma Marsden / Rowena Kasprowicz / 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0EC3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6.65pt;margin-top:13.45pt;width:37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" filled="f" stroked="f" strokeweight=".5pt">
              <v:textbox>
                <w:txbxContent>
                  <w:p w14:paraId="7132C1FD" w14:textId="77777777" w:rsidR="009A4B6E" w:rsidRPr="00FD2709" w:rsidRDefault="00FD2709" w:rsidP="00FD2709">
                    <w:pPr>
                      <w:jc w:val="right"/>
                      <w:rPr>
                        <w:color w:val="FFFFFF" w:themeColor="background1"/>
                        <w:sz w:val="24"/>
                      </w:rPr>
                    </w:pPr>
                    <w:r w:rsidRPr="00FD2709">
                      <w:rPr>
                        <w:color w:val="FFFFFF" w:themeColor="background1"/>
                        <w:sz w:val="24"/>
                      </w:rPr>
                      <w:t>Emma Marsden / Rowena Kasprowicz / Nick Avery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 wp14:anchorId="0F0CF593" wp14:editId="7F35B13C">
          <wp:simplePos x="0" y="0"/>
          <wp:positionH relativeFrom="column">
            <wp:posOffset>-369570</wp:posOffset>
          </wp:positionH>
          <wp:positionV relativeFrom="paragraph">
            <wp:posOffset>56515</wp:posOffset>
          </wp:positionV>
          <wp:extent cx="10704812" cy="5340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716F" w14:textId="77777777" w:rsidR="00D84B8E" w:rsidRDefault="00D84B8E" w:rsidP="00180B91">
      <w:pPr>
        <w:spacing w:after="0" w:line="240" w:lineRule="auto"/>
      </w:pPr>
      <w:r>
        <w:separator/>
      </w:r>
    </w:p>
  </w:footnote>
  <w:footnote w:type="continuationSeparator" w:id="0">
    <w:p w14:paraId="153F70EF" w14:textId="77777777" w:rsidR="00D84B8E" w:rsidRDefault="00D84B8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033DC" w14:textId="0D9F7A9C" w:rsidR="00180B91" w:rsidRPr="00175567" w:rsidRDefault="00175567" w:rsidP="009A040F">
    <w:pPr>
      <w:pStyle w:val="Header"/>
      <w:tabs>
        <w:tab w:val="clear" w:pos="4513"/>
        <w:tab w:val="left" w:pos="0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  <w:r w:rsidR="009A2209">
      <w:rPr>
        <w:color w:val="1F3864" w:themeColor="accent5" w:themeShade="80"/>
      </w:rPr>
      <w:t>Grammar teaching discussion</w:t>
    </w:r>
    <w:r w:rsidR="009A2209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4749"/>
    <w:multiLevelType w:val="multilevel"/>
    <w:tmpl w:val="FA1465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8E6B18"/>
    <w:multiLevelType w:val="multilevel"/>
    <w:tmpl w:val="9D728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A3776E"/>
    <w:multiLevelType w:val="multilevel"/>
    <w:tmpl w:val="11AC4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274031"/>
    <w:multiLevelType w:val="multilevel"/>
    <w:tmpl w:val="92BE2FC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AA"/>
    <w:rsid w:val="000231D7"/>
    <w:rsid w:val="00032640"/>
    <w:rsid w:val="0004345E"/>
    <w:rsid w:val="000B40EC"/>
    <w:rsid w:val="000F4CB3"/>
    <w:rsid w:val="001523DD"/>
    <w:rsid w:val="00175567"/>
    <w:rsid w:val="00180B91"/>
    <w:rsid w:val="001F672F"/>
    <w:rsid w:val="00282F0B"/>
    <w:rsid w:val="003D7AD8"/>
    <w:rsid w:val="00460C70"/>
    <w:rsid w:val="004C1C09"/>
    <w:rsid w:val="005F161F"/>
    <w:rsid w:val="006674C7"/>
    <w:rsid w:val="007E5F8C"/>
    <w:rsid w:val="00855FF7"/>
    <w:rsid w:val="008D081F"/>
    <w:rsid w:val="008D244C"/>
    <w:rsid w:val="008F6E3D"/>
    <w:rsid w:val="009A040F"/>
    <w:rsid w:val="009A0D9F"/>
    <w:rsid w:val="009A2209"/>
    <w:rsid w:val="009A4B6E"/>
    <w:rsid w:val="00A277F2"/>
    <w:rsid w:val="00A372BB"/>
    <w:rsid w:val="00A50A62"/>
    <w:rsid w:val="00A56EF3"/>
    <w:rsid w:val="00A945D8"/>
    <w:rsid w:val="00AF1BA1"/>
    <w:rsid w:val="00B3566A"/>
    <w:rsid w:val="00BC04AA"/>
    <w:rsid w:val="00D534FE"/>
    <w:rsid w:val="00D84B8E"/>
    <w:rsid w:val="00ED407D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E71646"/>
  <w15:chartTrackingRefBased/>
  <w15:docId w15:val="{030A6AFA-186A-48EA-93E9-53739C5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0F"/>
    <w:rPr>
      <w:b/>
      <w:bCs/>
      <w:sz w:val="20"/>
      <w:szCs w:val="20"/>
    </w:rPr>
  </w:style>
  <w:style w:type="table" w:customStyle="1" w:styleId="1">
    <w:name w:val="1"/>
    <w:basedOn w:val="TableNormal"/>
    <w:rsid w:val="003D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Landscape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9DA6-C38F-44B9-89D0-B777D460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NCELP_Resources_Landscape_Default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dcterms:created xsi:type="dcterms:W3CDTF">2019-05-17T05:59:00Z</dcterms:created>
  <dcterms:modified xsi:type="dcterms:W3CDTF">2019-05-17T05:59:00Z</dcterms:modified>
</cp:coreProperties>
</file>