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3F358" w14:textId="1110D7BC" w:rsidR="00F00F71" w:rsidRPr="008501AB" w:rsidRDefault="00B11B88" w:rsidP="00B11B88">
      <w:pPr>
        <w:jc w:val="center"/>
        <w:rPr>
          <w:b/>
          <w:sz w:val="24"/>
          <w:szCs w:val="24"/>
        </w:rPr>
      </w:pPr>
      <w:r w:rsidRPr="008501AB">
        <w:rPr>
          <w:b/>
          <w:sz w:val="24"/>
          <w:szCs w:val="24"/>
        </w:rPr>
        <w:t>Highly frequent</w:t>
      </w:r>
      <w:r w:rsidR="009003DB" w:rsidRPr="008501AB">
        <w:rPr>
          <w:b/>
          <w:sz w:val="24"/>
          <w:szCs w:val="24"/>
        </w:rPr>
        <w:t>,</w:t>
      </w:r>
      <w:r w:rsidRPr="008501AB">
        <w:rPr>
          <w:b/>
          <w:sz w:val="24"/>
          <w:szCs w:val="24"/>
        </w:rPr>
        <w:t xml:space="preserve"> regular word families</w:t>
      </w:r>
    </w:p>
    <w:p w14:paraId="7ED40BAA" w14:textId="77777777" w:rsidR="00C07B7D" w:rsidRPr="008501AB" w:rsidRDefault="00C07B7D" w:rsidP="00C07B7D">
      <w:pPr>
        <w:spacing w:after="0"/>
        <w:jc w:val="center"/>
        <w:rPr>
          <w:b/>
          <w:sz w:val="22"/>
          <w:szCs w:val="22"/>
        </w:rPr>
      </w:pPr>
    </w:p>
    <w:p w14:paraId="3E0B469E" w14:textId="2D823E07" w:rsidR="007F486E" w:rsidRPr="008501AB" w:rsidRDefault="00F00F71" w:rsidP="00C07B7D">
      <w:pPr>
        <w:spacing w:line="240" w:lineRule="auto"/>
        <w:rPr>
          <w:rFonts w:eastAsia="Times New Roman" w:cs="Calibri"/>
          <w:color w:val="201F1E"/>
          <w:sz w:val="22"/>
          <w:szCs w:val="22"/>
        </w:rPr>
      </w:pPr>
      <w:r w:rsidRPr="008501AB">
        <w:rPr>
          <w:rFonts w:eastAsia="Times New Roman" w:cs="Calibri"/>
          <w:b/>
          <w:color w:val="201F1E"/>
          <w:sz w:val="24"/>
          <w:szCs w:val="24"/>
        </w:rPr>
        <w:t xml:space="preserve">What is </w:t>
      </w:r>
      <w:r w:rsidR="00EF4F45" w:rsidRPr="008501AB">
        <w:rPr>
          <w:rFonts w:eastAsia="Times New Roman" w:cs="Calibri"/>
          <w:b/>
          <w:color w:val="201F1E"/>
          <w:sz w:val="24"/>
          <w:szCs w:val="24"/>
        </w:rPr>
        <w:t>this resource and</w:t>
      </w:r>
      <w:r w:rsidRPr="008501AB">
        <w:rPr>
          <w:rFonts w:eastAsia="Times New Roman" w:cs="Calibri"/>
          <w:b/>
          <w:color w:val="201F1E"/>
          <w:sz w:val="24"/>
          <w:szCs w:val="24"/>
        </w:rPr>
        <w:t xml:space="preserve"> what is</w:t>
      </w:r>
      <w:r w:rsidR="00EF4F45" w:rsidRPr="008501AB">
        <w:rPr>
          <w:rFonts w:eastAsia="Times New Roman" w:cs="Calibri"/>
          <w:b/>
          <w:color w:val="201F1E"/>
          <w:sz w:val="24"/>
          <w:szCs w:val="24"/>
        </w:rPr>
        <w:t xml:space="preserve"> it</w:t>
      </w:r>
      <w:r w:rsidRPr="008501AB">
        <w:rPr>
          <w:rFonts w:eastAsia="Times New Roman" w:cs="Calibri"/>
          <w:b/>
          <w:color w:val="201F1E"/>
          <w:sz w:val="24"/>
          <w:szCs w:val="24"/>
        </w:rPr>
        <w:t xml:space="preserve"> f</w:t>
      </w:r>
      <w:r w:rsidRPr="008501AB">
        <w:rPr>
          <w:rFonts w:eastAsia="Times New Roman" w:cs="Calibri"/>
          <w:b/>
          <w:i/>
          <w:color w:val="201F1E"/>
          <w:sz w:val="24"/>
          <w:szCs w:val="24"/>
        </w:rPr>
        <w:t>o</w:t>
      </w:r>
      <w:r w:rsidRPr="008501AB">
        <w:rPr>
          <w:rFonts w:eastAsia="Times New Roman" w:cs="Calibri"/>
          <w:b/>
          <w:color w:val="201F1E"/>
          <w:sz w:val="24"/>
          <w:szCs w:val="24"/>
        </w:rPr>
        <w:t>r?</w:t>
      </w:r>
      <w:r w:rsidR="00153D34" w:rsidRPr="008501AB">
        <w:rPr>
          <w:rFonts w:eastAsia="Times New Roman" w:cs="Calibri"/>
          <w:color w:val="201F1E"/>
          <w:sz w:val="24"/>
          <w:szCs w:val="24"/>
        </w:rPr>
        <w:br/>
      </w:r>
      <w:r w:rsidR="00917536" w:rsidRPr="008501AB">
        <w:rPr>
          <w:rFonts w:eastAsia="Times New Roman" w:cs="Calibri"/>
          <w:color w:val="201F1E"/>
          <w:sz w:val="22"/>
          <w:szCs w:val="22"/>
        </w:rPr>
        <w:t xml:space="preserve">The </w:t>
      </w:r>
      <w:hyperlink r:id="rId7" w:history="1">
        <w:r w:rsidR="00917536" w:rsidRPr="00E719BC">
          <w:rPr>
            <w:rStyle w:val="Hyperlink"/>
            <w:rFonts w:eastAsia="Times New Roman" w:cs="Calibri"/>
            <w:sz w:val="22"/>
            <w:szCs w:val="22"/>
          </w:rPr>
          <w:t>GCSE Subject Content for French, German and Spanish</w:t>
        </w:r>
      </w:hyperlink>
      <w:r w:rsidR="00917536" w:rsidRPr="008501AB" w:rsidDel="00917536">
        <w:rPr>
          <w:rFonts w:eastAsia="Times New Roman" w:cs="Calibri"/>
          <w:color w:val="201F1E"/>
          <w:sz w:val="22"/>
          <w:szCs w:val="22"/>
        </w:rPr>
        <w:t xml:space="preserve"> </w:t>
      </w:r>
      <w:r w:rsidR="00917536" w:rsidRPr="008501AB">
        <w:rPr>
          <w:rFonts w:eastAsia="Times New Roman" w:cs="Calibri"/>
          <w:color w:val="201F1E"/>
          <w:sz w:val="22"/>
          <w:szCs w:val="22"/>
        </w:rPr>
        <w:t xml:space="preserve">specifies all of the grammar features on which students may be assessed (see Annex B). </w:t>
      </w:r>
      <w:r w:rsidR="00B11B88" w:rsidRPr="008501AB">
        <w:rPr>
          <w:rFonts w:eastAsia="Times New Roman" w:cs="Calibri"/>
          <w:color w:val="201F1E"/>
          <w:sz w:val="22"/>
          <w:szCs w:val="22"/>
        </w:rPr>
        <w:t>This</w:t>
      </w:r>
      <w:r w:rsidR="00917536" w:rsidRPr="008501AB">
        <w:rPr>
          <w:rFonts w:eastAsia="Times New Roman" w:cs="Calibri"/>
          <w:color w:val="201F1E"/>
          <w:sz w:val="22"/>
          <w:szCs w:val="22"/>
        </w:rPr>
        <w:t xml:space="preserve"> </w:t>
      </w:r>
      <w:r w:rsidR="00B11B88" w:rsidRPr="008501AB">
        <w:rPr>
          <w:rFonts w:eastAsia="Times New Roman" w:cs="Calibri"/>
          <w:color w:val="201F1E"/>
          <w:sz w:val="22"/>
          <w:szCs w:val="22"/>
        </w:rPr>
        <w:t>resource lists all of the word families</w:t>
      </w:r>
      <w:r w:rsidR="00DD2833" w:rsidRPr="008501AB">
        <w:rPr>
          <w:rFonts w:eastAsia="Times New Roman" w:cs="Calibri"/>
          <w:color w:val="201F1E"/>
          <w:sz w:val="22"/>
          <w:szCs w:val="22"/>
        </w:rPr>
        <w:t>¹</w:t>
      </w:r>
      <w:r w:rsidR="00B11B88" w:rsidRPr="008501AB">
        <w:rPr>
          <w:rFonts w:eastAsia="Times New Roman" w:cs="Calibri"/>
          <w:color w:val="201F1E"/>
          <w:sz w:val="22"/>
          <w:szCs w:val="22"/>
        </w:rPr>
        <w:t xml:space="preserve"> within the 2</w:t>
      </w:r>
      <w:r w:rsidR="00917536" w:rsidRPr="008501AB">
        <w:rPr>
          <w:rFonts w:eastAsia="Times New Roman" w:cs="Calibri"/>
          <w:color w:val="201F1E"/>
          <w:sz w:val="22"/>
          <w:szCs w:val="22"/>
        </w:rPr>
        <w:t>,</w:t>
      </w:r>
      <w:r w:rsidR="00B11B88" w:rsidRPr="008501AB">
        <w:rPr>
          <w:rFonts w:eastAsia="Times New Roman" w:cs="Calibri"/>
          <w:color w:val="201F1E"/>
          <w:sz w:val="22"/>
          <w:szCs w:val="22"/>
        </w:rPr>
        <w:t>000 most frequent</w:t>
      </w:r>
      <w:r w:rsidR="00917536" w:rsidRPr="008501AB">
        <w:rPr>
          <w:rFonts w:eastAsia="Times New Roman" w:cs="Calibri"/>
          <w:color w:val="201F1E"/>
          <w:sz w:val="22"/>
          <w:szCs w:val="22"/>
        </w:rPr>
        <w:t xml:space="preserve"> words</w:t>
      </w:r>
      <w:r w:rsidR="009173A1" w:rsidRPr="008501AB">
        <w:rPr>
          <w:rFonts w:eastAsia="Times New Roman" w:cs="Calibri"/>
          <w:color w:val="201F1E"/>
          <w:sz w:val="22"/>
          <w:szCs w:val="22"/>
        </w:rPr>
        <w:t>,</w:t>
      </w:r>
      <w:r w:rsidR="00B11B88" w:rsidRPr="008501AB">
        <w:rPr>
          <w:rFonts w:eastAsia="Times New Roman" w:cs="Calibri"/>
          <w:color w:val="201F1E"/>
          <w:sz w:val="22"/>
          <w:szCs w:val="22"/>
        </w:rPr>
        <w:t xml:space="preserve"> in each language</w:t>
      </w:r>
      <w:r w:rsidR="009173A1" w:rsidRPr="008501AB">
        <w:rPr>
          <w:rFonts w:eastAsia="Times New Roman" w:cs="Calibri"/>
          <w:color w:val="201F1E"/>
          <w:sz w:val="22"/>
          <w:szCs w:val="22"/>
        </w:rPr>
        <w:t>,</w:t>
      </w:r>
      <w:r w:rsidR="00B11B88" w:rsidRPr="008501AB">
        <w:rPr>
          <w:rFonts w:eastAsia="Times New Roman" w:cs="Calibri"/>
          <w:color w:val="201F1E"/>
          <w:sz w:val="22"/>
          <w:szCs w:val="22"/>
        </w:rPr>
        <w:t xml:space="preserve"> that exemplify a </w:t>
      </w:r>
      <w:r w:rsidR="00B11B88" w:rsidRPr="008501AB">
        <w:rPr>
          <w:rFonts w:eastAsia="Times New Roman" w:cs="Calibri"/>
          <w:i/>
          <w:color w:val="201F1E"/>
          <w:sz w:val="22"/>
          <w:szCs w:val="22"/>
        </w:rPr>
        <w:t>regular</w:t>
      </w:r>
      <w:r w:rsidR="00B11B88" w:rsidRPr="008501AB">
        <w:rPr>
          <w:rFonts w:eastAsia="Times New Roman" w:cs="Calibri"/>
          <w:color w:val="201F1E"/>
          <w:sz w:val="22"/>
          <w:szCs w:val="22"/>
        </w:rPr>
        <w:t xml:space="preserve"> grammar feature </w:t>
      </w:r>
      <w:r w:rsidR="00917536" w:rsidRPr="008501AB">
        <w:rPr>
          <w:rFonts w:eastAsia="Times New Roman" w:cs="Calibri"/>
          <w:color w:val="201F1E"/>
          <w:sz w:val="22"/>
          <w:szCs w:val="22"/>
        </w:rPr>
        <w:t xml:space="preserve">as described </w:t>
      </w:r>
      <w:r w:rsidR="00B11B88" w:rsidRPr="008501AB">
        <w:rPr>
          <w:rFonts w:eastAsia="Times New Roman" w:cs="Calibri"/>
          <w:color w:val="201F1E"/>
          <w:sz w:val="22"/>
          <w:szCs w:val="22"/>
        </w:rPr>
        <w:t xml:space="preserve">in the GCSE Subject Content. </w:t>
      </w:r>
      <w:r w:rsidR="009003DB" w:rsidRPr="008501AB">
        <w:rPr>
          <w:rFonts w:eastAsia="Times New Roman" w:cs="Calibri"/>
          <w:color w:val="201F1E"/>
          <w:sz w:val="22"/>
          <w:szCs w:val="22"/>
        </w:rPr>
        <w:t>The resource</w:t>
      </w:r>
      <w:r w:rsidR="00B11B88" w:rsidRPr="008501AB">
        <w:rPr>
          <w:rFonts w:eastAsia="Times New Roman" w:cs="Calibri"/>
          <w:color w:val="201F1E"/>
          <w:sz w:val="22"/>
          <w:szCs w:val="22"/>
        </w:rPr>
        <w:t xml:space="preserve"> can be used to </w:t>
      </w:r>
      <w:r w:rsidR="00795C7B" w:rsidRPr="008501AB">
        <w:rPr>
          <w:rFonts w:eastAsia="Times New Roman" w:cs="Calibri"/>
          <w:color w:val="201F1E"/>
          <w:sz w:val="22"/>
          <w:szCs w:val="22"/>
        </w:rPr>
        <w:t>inform</w:t>
      </w:r>
      <w:r w:rsidR="00B11B88" w:rsidRPr="008501AB">
        <w:rPr>
          <w:rFonts w:eastAsia="Times New Roman" w:cs="Calibri"/>
          <w:color w:val="201F1E"/>
          <w:sz w:val="22"/>
          <w:szCs w:val="22"/>
        </w:rPr>
        <w:t xml:space="preserve"> vocabulary selection.</w:t>
      </w:r>
      <w:r w:rsidR="00917536" w:rsidRPr="008501AB">
        <w:rPr>
          <w:rFonts w:eastAsia="Times New Roman" w:cs="Calibri"/>
          <w:color w:val="201F1E"/>
          <w:sz w:val="22"/>
          <w:szCs w:val="22"/>
        </w:rPr>
        <w:t xml:space="preserve"> </w:t>
      </w:r>
    </w:p>
    <w:p w14:paraId="24DFA38D" w14:textId="77777777" w:rsidR="00C07B7D" w:rsidRPr="008501AB" w:rsidRDefault="00C07B7D" w:rsidP="00C07B7D">
      <w:pPr>
        <w:spacing w:after="0" w:line="240" w:lineRule="auto"/>
        <w:rPr>
          <w:rFonts w:eastAsia="Times New Roman" w:cs="Calibri"/>
          <w:color w:val="201F1E"/>
          <w:sz w:val="24"/>
          <w:szCs w:val="24"/>
        </w:rPr>
      </w:pPr>
    </w:p>
    <w:p w14:paraId="27689146" w14:textId="6FEB768F" w:rsidR="00F726E5" w:rsidRPr="008501AB" w:rsidRDefault="00F726E5" w:rsidP="00C07B7D">
      <w:pPr>
        <w:shd w:val="clear" w:color="auto" w:fill="FFFFFF"/>
        <w:spacing w:after="0" w:line="240" w:lineRule="auto"/>
        <w:rPr>
          <w:rFonts w:eastAsia="Times New Roman" w:cs="Calibri"/>
          <w:color w:val="201F1E"/>
          <w:sz w:val="24"/>
          <w:szCs w:val="24"/>
        </w:rPr>
      </w:pPr>
      <w:r w:rsidRPr="008501AB">
        <w:rPr>
          <w:rFonts w:eastAsia="Times New Roman" w:cs="Calibri"/>
          <w:b/>
          <w:bCs/>
          <w:color w:val="201F1E"/>
          <w:sz w:val="24"/>
          <w:szCs w:val="24"/>
        </w:rPr>
        <w:t>Wh</w:t>
      </w:r>
      <w:r w:rsidR="00EF4F45" w:rsidRPr="008501AB">
        <w:rPr>
          <w:rFonts w:eastAsia="Times New Roman" w:cs="Calibri"/>
          <w:b/>
          <w:bCs/>
          <w:color w:val="201F1E"/>
          <w:sz w:val="24"/>
          <w:szCs w:val="24"/>
        </w:rPr>
        <w:t>y is this resource important</w:t>
      </w:r>
      <w:r w:rsidRPr="008501AB">
        <w:rPr>
          <w:rFonts w:eastAsia="Times New Roman" w:cs="Calibri"/>
          <w:b/>
          <w:bCs/>
          <w:color w:val="201F1E"/>
          <w:sz w:val="24"/>
          <w:szCs w:val="24"/>
        </w:rPr>
        <w:t>?</w:t>
      </w:r>
    </w:p>
    <w:p w14:paraId="52625427" w14:textId="10A9795B" w:rsidR="006527CF" w:rsidRPr="008501AB" w:rsidRDefault="00795C7B" w:rsidP="00C07B7D">
      <w:pPr>
        <w:shd w:val="clear" w:color="auto" w:fill="FFFFFF"/>
        <w:spacing w:after="0" w:line="240" w:lineRule="auto"/>
        <w:rPr>
          <w:sz w:val="22"/>
          <w:szCs w:val="22"/>
        </w:rPr>
      </w:pPr>
      <w:r w:rsidRPr="008501AB">
        <w:rPr>
          <w:sz w:val="22"/>
          <w:szCs w:val="22"/>
        </w:rPr>
        <w:t>Vocabulary selection can be guided by a number of principles</w:t>
      </w:r>
      <w:r w:rsidR="006527CF" w:rsidRPr="008501AB">
        <w:rPr>
          <w:sz w:val="22"/>
          <w:szCs w:val="22"/>
        </w:rPr>
        <w:t xml:space="preserve"> (e.g.</w:t>
      </w:r>
      <w:r w:rsidR="00384C24" w:rsidRPr="008501AB">
        <w:rPr>
          <w:sz w:val="22"/>
          <w:szCs w:val="22"/>
        </w:rPr>
        <w:t>,</w:t>
      </w:r>
      <w:r w:rsidR="006527CF" w:rsidRPr="008501AB">
        <w:rPr>
          <w:sz w:val="22"/>
          <w:szCs w:val="22"/>
        </w:rPr>
        <w:t xml:space="preserve"> </w:t>
      </w:r>
      <w:hyperlink r:id="rId8" w:history="1">
        <w:r w:rsidR="006527CF" w:rsidRPr="00E719BC">
          <w:rPr>
            <w:rStyle w:val="Hyperlink"/>
            <w:sz w:val="22"/>
            <w:szCs w:val="22"/>
          </w:rPr>
          <w:t>frequency</w:t>
        </w:r>
      </w:hyperlink>
      <w:r w:rsidR="006527CF" w:rsidRPr="008501AB">
        <w:rPr>
          <w:sz w:val="22"/>
          <w:szCs w:val="22"/>
        </w:rPr>
        <w:t xml:space="preserve">, </w:t>
      </w:r>
      <w:hyperlink r:id="rId9" w:history="1">
        <w:r w:rsidR="00DB790D" w:rsidRPr="00E719BC">
          <w:rPr>
            <w:rStyle w:val="Hyperlink"/>
            <w:sz w:val="22"/>
            <w:szCs w:val="22"/>
          </w:rPr>
          <w:t>transferability</w:t>
        </w:r>
        <w:r w:rsidR="006527CF" w:rsidRPr="00E719BC">
          <w:rPr>
            <w:rStyle w:val="Hyperlink"/>
            <w:sz w:val="22"/>
            <w:szCs w:val="22"/>
          </w:rPr>
          <w:t xml:space="preserve"> across contexts</w:t>
        </w:r>
      </w:hyperlink>
      <w:r w:rsidR="00384C24" w:rsidRPr="008501AB">
        <w:rPr>
          <w:sz w:val="22"/>
          <w:szCs w:val="22"/>
        </w:rPr>
        <w:t xml:space="preserve">, </w:t>
      </w:r>
      <w:r w:rsidR="009003DB" w:rsidRPr="008501AB">
        <w:rPr>
          <w:sz w:val="22"/>
          <w:szCs w:val="22"/>
        </w:rPr>
        <w:t xml:space="preserve">relevance to the learners, </w:t>
      </w:r>
      <w:r w:rsidR="00384C24" w:rsidRPr="008501AB">
        <w:rPr>
          <w:sz w:val="22"/>
          <w:szCs w:val="22"/>
        </w:rPr>
        <w:t>purpose of instruction</w:t>
      </w:r>
      <w:r w:rsidR="006527CF" w:rsidRPr="008501AB">
        <w:rPr>
          <w:sz w:val="22"/>
          <w:szCs w:val="22"/>
        </w:rPr>
        <w:t>)</w:t>
      </w:r>
      <w:r w:rsidRPr="008501AB">
        <w:rPr>
          <w:sz w:val="22"/>
          <w:szCs w:val="22"/>
        </w:rPr>
        <w:t>. One of these</w:t>
      </w:r>
      <w:r w:rsidR="009003DB" w:rsidRPr="008501AB">
        <w:rPr>
          <w:sz w:val="22"/>
          <w:szCs w:val="22"/>
        </w:rPr>
        <w:t xml:space="preserve"> principles</w:t>
      </w:r>
      <w:r w:rsidRPr="008501AB">
        <w:rPr>
          <w:sz w:val="22"/>
          <w:szCs w:val="22"/>
        </w:rPr>
        <w:t xml:space="preserve"> is the alignment between </w:t>
      </w:r>
      <w:r w:rsidR="006527CF" w:rsidRPr="008501AB">
        <w:rPr>
          <w:sz w:val="22"/>
          <w:szCs w:val="22"/>
        </w:rPr>
        <w:t xml:space="preserve">the </w:t>
      </w:r>
      <w:r w:rsidRPr="008501AB">
        <w:rPr>
          <w:sz w:val="22"/>
          <w:szCs w:val="22"/>
        </w:rPr>
        <w:t>vocabulary and grammar</w:t>
      </w:r>
      <w:r w:rsidR="006527CF" w:rsidRPr="008501AB">
        <w:rPr>
          <w:sz w:val="22"/>
          <w:szCs w:val="22"/>
        </w:rPr>
        <w:t xml:space="preserve"> content</w:t>
      </w:r>
      <w:r w:rsidR="006B5529" w:rsidRPr="008501AB">
        <w:rPr>
          <w:sz w:val="22"/>
          <w:szCs w:val="22"/>
        </w:rPr>
        <w:t xml:space="preserve"> of </w:t>
      </w:r>
      <w:r w:rsidR="00A618BA" w:rsidRPr="008501AB">
        <w:rPr>
          <w:sz w:val="22"/>
          <w:szCs w:val="22"/>
        </w:rPr>
        <w:t xml:space="preserve">a </w:t>
      </w:r>
      <w:r w:rsidR="006B5529" w:rsidRPr="008501AB">
        <w:rPr>
          <w:sz w:val="22"/>
          <w:szCs w:val="22"/>
        </w:rPr>
        <w:t>course</w:t>
      </w:r>
      <w:r w:rsidRPr="008501AB">
        <w:rPr>
          <w:sz w:val="22"/>
          <w:szCs w:val="22"/>
        </w:rPr>
        <w:t>.</w:t>
      </w:r>
      <w:r w:rsidR="006527CF" w:rsidRPr="008501AB">
        <w:rPr>
          <w:sz w:val="22"/>
          <w:szCs w:val="22"/>
        </w:rPr>
        <w:t xml:space="preserve"> </w:t>
      </w:r>
      <w:r w:rsidRPr="008501AB">
        <w:rPr>
          <w:sz w:val="22"/>
          <w:szCs w:val="22"/>
        </w:rPr>
        <w:t xml:space="preserve">By </w:t>
      </w:r>
      <w:r w:rsidR="00B11B88" w:rsidRPr="008501AB">
        <w:rPr>
          <w:sz w:val="22"/>
          <w:szCs w:val="22"/>
        </w:rPr>
        <w:t>choosing words that exemplify regular grammar features,</w:t>
      </w:r>
      <w:r w:rsidR="006527CF" w:rsidRPr="008501AB">
        <w:rPr>
          <w:sz w:val="22"/>
          <w:szCs w:val="22"/>
        </w:rPr>
        <w:t xml:space="preserve"> </w:t>
      </w:r>
      <w:r w:rsidR="00A618BA" w:rsidRPr="008501AB">
        <w:rPr>
          <w:sz w:val="22"/>
          <w:szCs w:val="22"/>
        </w:rPr>
        <w:t xml:space="preserve">word </w:t>
      </w:r>
      <w:r w:rsidR="00B11B88" w:rsidRPr="008501AB">
        <w:rPr>
          <w:sz w:val="22"/>
          <w:szCs w:val="22"/>
        </w:rPr>
        <w:t xml:space="preserve">list creators can provide students with the vocabulary </w:t>
      </w:r>
      <w:r w:rsidR="006527CF" w:rsidRPr="008501AB">
        <w:rPr>
          <w:sz w:val="22"/>
          <w:szCs w:val="22"/>
        </w:rPr>
        <w:t>needed</w:t>
      </w:r>
      <w:r w:rsidR="00B11B88" w:rsidRPr="008501AB">
        <w:rPr>
          <w:sz w:val="22"/>
          <w:szCs w:val="22"/>
        </w:rPr>
        <w:t xml:space="preserve"> in order to </w:t>
      </w:r>
      <w:r w:rsidR="006B5529" w:rsidRPr="008501AB">
        <w:rPr>
          <w:sz w:val="22"/>
          <w:szCs w:val="22"/>
        </w:rPr>
        <w:t xml:space="preserve">understand and communicate meaning (e.g., tense, person, number). </w:t>
      </w:r>
      <w:r w:rsidR="009173A1" w:rsidRPr="008501AB">
        <w:rPr>
          <w:sz w:val="22"/>
          <w:szCs w:val="22"/>
        </w:rPr>
        <w:t xml:space="preserve">Having a wide range of high frequency regulars can help learners to ‘segment out’ the grammar, so they can then manipulate it to express meaning.  </w:t>
      </w:r>
      <w:r w:rsidR="00B11B88" w:rsidRPr="008501AB">
        <w:rPr>
          <w:sz w:val="22"/>
          <w:szCs w:val="22"/>
        </w:rPr>
        <w:t>For example, if a vocabulary list includes plenty of regular verbs,</w:t>
      </w:r>
      <w:r w:rsidR="006527CF" w:rsidRPr="008501AB">
        <w:rPr>
          <w:sz w:val="22"/>
          <w:szCs w:val="22"/>
        </w:rPr>
        <w:t xml:space="preserve"> </w:t>
      </w:r>
      <w:r w:rsidR="00B11B88" w:rsidRPr="008501AB">
        <w:rPr>
          <w:sz w:val="22"/>
          <w:szCs w:val="22"/>
        </w:rPr>
        <w:t xml:space="preserve">students will have </w:t>
      </w:r>
      <w:r w:rsidR="00A618BA" w:rsidRPr="008501AB">
        <w:rPr>
          <w:sz w:val="22"/>
          <w:szCs w:val="22"/>
        </w:rPr>
        <w:t xml:space="preserve">a range of </w:t>
      </w:r>
      <w:r w:rsidR="00B11B88" w:rsidRPr="008501AB">
        <w:rPr>
          <w:sz w:val="22"/>
          <w:szCs w:val="22"/>
        </w:rPr>
        <w:t xml:space="preserve">‘hooks’ onto which they can ‘peg’ </w:t>
      </w:r>
      <w:r w:rsidR="006B018E" w:rsidRPr="008501AB">
        <w:rPr>
          <w:sz w:val="22"/>
          <w:szCs w:val="22"/>
        </w:rPr>
        <w:t>inflection</w:t>
      </w:r>
      <w:r w:rsidR="0044626A" w:rsidRPr="008501AB">
        <w:rPr>
          <w:sz w:val="22"/>
          <w:szCs w:val="22"/>
        </w:rPr>
        <w:t>al patterns</w:t>
      </w:r>
      <w:r w:rsidR="00A618BA" w:rsidRPr="008501AB">
        <w:rPr>
          <w:sz w:val="22"/>
          <w:szCs w:val="22"/>
        </w:rPr>
        <w:t>.</w:t>
      </w:r>
      <w:r w:rsidR="006527CF" w:rsidRPr="008501AB">
        <w:rPr>
          <w:sz w:val="22"/>
          <w:szCs w:val="22"/>
        </w:rPr>
        <w:t xml:space="preserve"> </w:t>
      </w:r>
    </w:p>
    <w:p w14:paraId="28E38EC4" w14:textId="77777777" w:rsidR="006527CF" w:rsidRPr="008501AB" w:rsidRDefault="006527CF" w:rsidP="00C07B7D">
      <w:pPr>
        <w:shd w:val="clear" w:color="auto" w:fill="FFFFFF"/>
        <w:spacing w:after="0" w:line="240" w:lineRule="auto"/>
        <w:rPr>
          <w:sz w:val="22"/>
          <w:szCs w:val="22"/>
        </w:rPr>
      </w:pPr>
    </w:p>
    <w:p w14:paraId="7E72FCBA" w14:textId="329215F7" w:rsidR="00B11B88" w:rsidRPr="008501AB" w:rsidRDefault="00F71615" w:rsidP="00C07B7D">
      <w:pPr>
        <w:spacing w:line="240" w:lineRule="auto"/>
        <w:rPr>
          <w:sz w:val="22"/>
          <w:szCs w:val="22"/>
        </w:rPr>
      </w:pPr>
      <w:r w:rsidRPr="008501AB">
        <w:rPr>
          <w:sz w:val="22"/>
          <w:szCs w:val="22"/>
        </w:rPr>
        <w:t>This resource also</w:t>
      </w:r>
      <w:r w:rsidR="00B11B88" w:rsidRPr="008501AB">
        <w:rPr>
          <w:sz w:val="22"/>
          <w:szCs w:val="22"/>
        </w:rPr>
        <w:t xml:space="preserve"> highlight</w:t>
      </w:r>
      <w:r w:rsidRPr="008501AB">
        <w:rPr>
          <w:sz w:val="22"/>
          <w:szCs w:val="22"/>
        </w:rPr>
        <w:t>s</w:t>
      </w:r>
      <w:r w:rsidR="00B11B88" w:rsidRPr="008501AB">
        <w:rPr>
          <w:sz w:val="22"/>
          <w:szCs w:val="22"/>
        </w:rPr>
        <w:t xml:space="preserve"> how some regular features are language-specific. For example, in German there are more ways to pluralise nouns than </w:t>
      </w:r>
      <w:r w:rsidRPr="008501AB">
        <w:rPr>
          <w:sz w:val="22"/>
          <w:szCs w:val="22"/>
        </w:rPr>
        <w:t>in Spanish.</w:t>
      </w:r>
      <w:r w:rsidR="00B11B88" w:rsidRPr="008501AB">
        <w:rPr>
          <w:sz w:val="22"/>
          <w:szCs w:val="22"/>
        </w:rPr>
        <w:t xml:space="preserve"> </w:t>
      </w:r>
      <w:r w:rsidR="00810A7E" w:rsidRPr="008501AB">
        <w:rPr>
          <w:sz w:val="22"/>
          <w:szCs w:val="22"/>
        </w:rPr>
        <w:t>Creators of German word lists</w:t>
      </w:r>
      <w:r w:rsidR="00B11B88" w:rsidRPr="008501AB">
        <w:rPr>
          <w:sz w:val="22"/>
          <w:szCs w:val="22"/>
        </w:rPr>
        <w:t xml:space="preserve"> </w:t>
      </w:r>
      <w:r w:rsidRPr="008501AB">
        <w:rPr>
          <w:sz w:val="22"/>
          <w:szCs w:val="22"/>
        </w:rPr>
        <w:t>may</w:t>
      </w:r>
      <w:r w:rsidR="00810A7E" w:rsidRPr="008501AB">
        <w:rPr>
          <w:sz w:val="22"/>
          <w:szCs w:val="22"/>
        </w:rPr>
        <w:t xml:space="preserve"> therefore</w:t>
      </w:r>
      <w:r w:rsidRPr="008501AB">
        <w:rPr>
          <w:sz w:val="22"/>
          <w:szCs w:val="22"/>
        </w:rPr>
        <w:t xml:space="preserve"> need to </w:t>
      </w:r>
      <w:r w:rsidR="00810A7E" w:rsidRPr="008501AB">
        <w:rPr>
          <w:sz w:val="22"/>
          <w:szCs w:val="22"/>
        </w:rPr>
        <w:t>pay particular attention to noun</w:t>
      </w:r>
      <w:r w:rsidR="006B5529" w:rsidRPr="008501AB">
        <w:rPr>
          <w:sz w:val="22"/>
          <w:szCs w:val="22"/>
        </w:rPr>
        <w:t xml:space="preserve"> selection</w:t>
      </w:r>
      <w:r w:rsidR="00810A7E" w:rsidRPr="008501AB">
        <w:rPr>
          <w:sz w:val="22"/>
          <w:szCs w:val="22"/>
        </w:rPr>
        <w:t xml:space="preserve"> to ensure that students can practise with the</w:t>
      </w:r>
      <w:r w:rsidR="00B11B88" w:rsidRPr="008501AB">
        <w:rPr>
          <w:sz w:val="22"/>
          <w:szCs w:val="22"/>
        </w:rPr>
        <w:t xml:space="preserve"> full range of endings </w:t>
      </w:r>
      <w:r w:rsidRPr="008501AB">
        <w:rPr>
          <w:sz w:val="22"/>
          <w:szCs w:val="22"/>
        </w:rPr>
        <w:t xml:space="preserve">specified </w:t>
      </w:r>
      <w:r w:rsidR="00B11B88" w:rsidRPr="008501AB">
        <w:rPr>
          <w:sz w:val="22"/>
          <w:szCs w:val="22"/>
        </w:rPr>
        <w:t xml:space="preserve">in the </w:t>
      </w:r>
      <w:r w:rsidR="006B5529" w:rsidRPr="008501AB">
        <w:rPr>
          <w:sz w:val="22"/>
          <w:szCs w:val="22"/>
        </w:rPr>
        <w:t xml:space="preserve">GCSE German </w:t>
      </w:r>
      <w:r w:rsidR="00B11B88" w:rsidRPr="008501AB">
        <w:rPr>
          <w:sz w:val="22"/>
          <w:szCs w:val="22"/>
        </w:rPr>
        <w:t>grammar content.</w:t>
      </w:r>
    </w:p>
    <w:p w14:paraId="296171FC" w14:textId="77777777" w:rsidR="00C07B7D" w:rsidRPr="008501AB" w:rsidRDefault="00C07B7D" w:rsidP="00C07B7D">
      <w:pPr>
        <w:spacing w:after="0" w:line="240" w:lineRule="auto"/>
        <w:rPr>
          <w:sz w:val="22"/>
          <w:szCs w:val="22"/>
        </w:rPr>
      </w:pPr>
    </w:p>
    <w:p w14:paraId="0B403BBD" w14:textId="4E93CCA8" w:rsidR="00B35D2F" w:rsidRPr="008501AB" w:rsidRDefault="00EF4F45" w:rsidP="00C07B7D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201F1E"/>
          <w:sz w:val="24"/>
          <w:szCs w:val="24"/>
        </w:rPr>
      </w:pPr>
      <w:r w:rsidRPr="008501AB">
        <w:rPr>
          <w:rFonts w:eastAsia="Times New Roman" w:cs="Calibri"/>
          <w:b/>
          <w:bCs/>
          <w:color w:val="201F1E"/>
          <w:sz w:val="24"/>
          <w:szCs w:val="24"/>
        </w:rPr>
        <w:t>How was this resource made</w:t>
      </w:r>
      <w:r w:rsidR="00B35D2F" w:rsidRPr="008501AB">
        <w:rPr>
          <w:rFonts w:eastAsia="Times New Roman" w:cs="Calibri"/>
          <w:b/>
          <w:bCs/>
          <w:color w:val="201F1E"/>
          <w:sz w:val="24"/>
          <w:szCs w:val="24"/>
        </w:rPr>
        <w:t>?</w:t>
      </w:r>
    </w:p>
    <w:p w14:paraId="3CE9E11E" w14:textId="53988CCF" w:rsidR="00B11B88" w:rsidRPr="008501AB" w:rsidRDefault="00B11B88" w:rsidP="00C07B7D">
      <w:pPr>
        <w:spacing w:line="240" w:lineRule="auto"/>
        <w:rPr>
          <w:sz w:val="22"/>
          <w:szCs w:val="22"/>
        </w:rPr>
      </w:pPr>
      <w:r w:rsidRPr="008501AB">
        <w:rPr>
          <w:sz w:val="22"/>
          <w:szCs w:val="22"/>
        </w:rPr>
        <w:t xml:space="preserve">We first </w:t>
      </w:r>
      <w:r w:rsidR="009173A1" w:rsidRPr="008501AB">
        <w:rPr>
          <w:sz w:val="22"/>
          <w:szCs w:val="22"/>
        </w:rPr>
        <w:t xml:space="preserve">extracted all examples of regular grammar features mentioned in </w:t>
      </w:r>
      <w:r w:rsidRPr="008501AB">
        <w:rPr>
          <w:sz w:val="22"/>
          <w:szCs w:val="22"/>
        </w:rPr>
        <w:t xml:space="preserve">the new GCSE French, German and Spanish Subject Content </w:t>
      </w:r>
      <w:r w:rsidR="00C07B7D" w:rsidRPr="008501AB">
        <w:rPr>
          <w:sz w:val="22"/>
          <w:szCs w:val="22"/>
        </w:rPr>
        <w:t>(all of which have an exemplar word labelled with the</w:t>
      </w:r>
      <w:r w:rsidRPr="008501AB">
        <w:rPr>
          <w:sz w:val="22"/>
          <w:szCs w:val="22"/>
        </w:rPr>
        <w:t xml:space="preserve"> “Y †” symbol in Annex E</w:t>
      </w:r>
      <w:r w:rsidR="008501AB" w:rsidRPr="00E719BC">
        <w:rPr>
          <w:sz w:val="22"/>
          <w:szCs w:val="22"/>
          <w:vertAlign w:val="superscript"/>
        </w:rPr>
        <w:t>2</w:t>
      </w:r>
      <w:r w:rsidR="00C07B7D" w:rsidRPr="008501AB">
        <w:rPr>
          <w:sz w:val="22"/>
          <w:szCs w:val="22"/>
        </w:rPr>
        <w:t xml:space="preserve">). </w:t>
      </w:r>
      <w:r w:rsidRPr="008501AB">
        <w:rPr>
          <w:sz w:val="22"/>
          <w:szCs w:val="22"/>
        </w:rPr>
        <w:t xml:space="preserve">We then </w:t>
      </w:r>
      <w:r w:rsidR="009173A1" w:rsidRPr="008501AB">
        <w:rPr>
          <w:sz w:val="22"/>
          <w:szCs w:val="22"/>
        </w:rPr>
        <w:t>found all words that follow that same regular pattern in</w:t>
      </w:r>
      <w:r w:rsidRPr="008501AB">
        <w:rPr>
          <w:sz w:val="22"/>
          <w:szCs w:val="22"/>
        </w:rPr>
        <w:t xml:space="preserve"> the 2</w:t>
      </w:r>
      <w:r w:rsidR="00DB790D" w:rsidRPr="008501AB">
        <w:rPr>
          <w:sz w:val="22"/>
          <w:szCs w:val="22"/>
        </w:rPr>
        <w:t>,</w:t>
      </w:r>
      <w:r w:rsidRPr="008501AB">
        <w:rPr>
          <w:sz w:val="22"/>
          <w:szCs w:val="22"/>
        </w:rPr>
        <w:t>000 most frequent words. Since this process was objective, it did not require multiple raters for each language. This generate</w:t>
      </w:r>
      <w:r w:rsidR="00C07B7D" w:rsidRPr="008501AB">
        <w:rPr>
          <w:sz w:val="22"/>
          <w:szCs w:val="22"/>
        </w:rPr>
        <w:t xml:space="preserve">d </w:t>
      </w:r>
      <w:r w:rsidR="0044626A" w:rsidRPr="008501AB">
        <w:rPr>
          <w:sz w:val="22"/>
          <w:szCs w:val="22"/>
        </w:rPr>
        <w:t xml:space="preserve">a </w:t>
      </w:r>
      <w:r w:rsidRPr="008501AB">
        <w:rPr>
          <w:sz w:val="22"/>
          <w:szCs w:val="22"/>
        </w:rPr>
        <w:t xml:space="preserve">list </w:t>
      </w:r>
      <w:r w:rsidR="0044626A" w:rsidRPr="008501AB">
        <w:rPr>
          <w:sz w:val="22"/>
          <w:szCs w:val="22"/>
        </w:rPr>
        <w:t xml:space="preserve">of words that ‘fit’ </w:t>
      </w:r>
      <w:r w:rsidR="00C07B7D" w:rsidRPr="008501AB">
        <w:rPr>
          <w:sz w:val="22"/>
          <w:szCs w:val="22"/>
        </w:rPr>
        <w:t>each regular grammar feature.</w:t>
      </w:r>
    </w:p>
    <w:p w14:paraId="736E0CBE" w14:textId="05CDD77C" w:rsidR="00B11B88" w:rsidRPr="008501AB" w:rsidRDefault="0044626A" w:rsidP="00C07B7D">
      <w:pPr>
        <w:spacing w:line="240" w:lineRule="auto"/>
        <w:rPr>
          <w:sz w:val="22"/>
          <w:szCs w:val="22"/>
        </w:rPr>
      </w:pPr>
      <w:r w:rsidRPr="008501AB">
        <w:rPr>
          <w:sz w:val="22"/>
          <w:szCs w:val="22"/>
        </w:rPr>
        <w:t>For the sake of completion, w</w:t>
      </w:r>
      <w:r w:rsidR="00B11B88" w:rsidRPr="008501AB">
        <w:rPr>
          <w:sz w:val="22"/>
          <w:szCs w:val="22"/>
        </w:rPr>
        <w:t xml:space="preserve">e </w:t>
      </w:r>
      <w:r w:rsidRPr="008501AB">
        <w:rPr>
          <w:sz w:val="22"/>
          <w:szCs w:val="22"/>
        </w:rPr>
        <w:t xml:space="preserve">also </w:t>
      </w:r>
      <w:r w:rsidR="00B11B88" w:rsidRPr="008501AB">
        <w:rPr>
          <w:sz w:val="22"/>
          <w:szCs w:val="22"/>
        </w:rPr>
        <w:t>listed all of the interjections, adverbs, prepositions</w:t>
      </w:r>
      <w:r w:rsidR="00DB790D" w:rsidRPr="008501AB">
        <w:rPr>
          <w:sz w:val="22"/>
          <w:szCs w:val="22"/>
        </w:rPr>
        <w:t>,</w:t>
      </w:r>
      <w:r w:rsidR="00B11B88" w:rsidRPr="008501AB">
        <w:rPr>
          <w:sz w:val="22"/>
          <w:szCs w:val="22"/>
        </w:rPr>
        <w:t xml:space="preserve"> and conjunctions from the top 2</w:t>
      </w:r>
      <w:r w:rsidR="00DB790D" w:rsidRPr="008501AB">
        <w:rPr>
          <w:sz w:val="22"/>
          <w:szCs w:val="22"/>
        </w:rPr>
        <w:t>,</w:t>
      </w:r>
      <w:r w:rsidR="00B11B88" w:rsidRPr="008501AB">
        <w:rPr>
          <w:sz w:val="22"/>
          <w:szCs w:val="22"/>
        </w:rPr>
        <w:t>000 that could be chosen by a list creator</w:t>
      </w:r>
      <w:r w:rsidR="00384C24" w:rsidRPr="008501AB">
        <w:rPr>
          <w:sz w:val="22"/>
          <w:szCs w:val="22"/>
        </w:rPr>
        <w:t xml:space="preserve"> for each language</w:t>
      </w:r>
      <w:r w:rsidR="009173A1" w:rsidRPr="008501AB">
        <w:rPr>
          <w:sz w:val="22"/>
          <w:szCs w:val="22"/>
        </w:rPr>
        <w:t>. E</w:t>
      </w:r>
      <w:r w:rsidRPr="008501AB">
        <w:rPr>
          <w:sz w:val="22"/>
          <w:szCs w:val="22"/>
        </w:rPr>
        <w:t xml:space="preserve">ven </w:t>
      </w:r>
      <w:r w:rsidR="009173A1" w:rsidRPr="008501AB">
        <w:rPr>
          <w:sz w:val="22"/>
          <w:szCs w:val="22"/>
        </w:rPr>
        <w:t xml:space="preserve">though </w:t>
      </w:r>
      <w:r w:rsidRPr="008501AB">
        <w:rPr>
          <w:sz w:val="22"/>
          <w:szCs w:val="22"/>
        </w:rPr>
        <w:t xml:space="preserve">these </w:t>
      </w:r>
      <w:r w:rsidR="009173A1" w:rsidRPr="008501AB">
        <w:rPr>
          <w:sz w:val="22"/>
          <w:szCs w:val="22"/>
        </w:rPr>
        <w:t xml:space="preserve">parts of speech </w:t>
      </w:r>
      <w:r w:rsidRPr="008501AB">
        <w:rPr>
          <w:sz w:val="22"/>
          <w:szCs w:val="22"/>
        </w:rPr>
        <w:t>are not necessarily considered to be ‘</w:t>
      </w:r>
      <w:r w:rsidR="009173A1" w:rsidRPr="008501AB">
        <w:rPr>
          <w:sz w:val="22"/>
          <w:szCs w:val="22"/>
        </w:rPr>
        <w:t>(ir)</w:t>
      </w:r>
      <w:r w:rsidRPr="008501AB">
        <w:rPr>
          <w:sz w:val="22"/>
          <w:szCs w:val="22"/>
        </w:rPr>
        <w:t xml:space="preserve">regular’, providing them </w:t>
      </w:r>
      <w:r w:rsidR="009173A1" w:rsidRPr="008501AB">
        <w:rPr>
          <w:sz w:val="22"/>
          <w:szCs w:val="22"/>
        </w:rPr>
        <w:t xml:space="preserve">simply </w:t>
      </w:r>
      <w:r w:rsidRPr="008501AB">
        <w:rPr>
          <w:sz w:val="22"/>
          <w:szCs w:val="22"/>
        </w:rPr>
        <w:t>created a more comprehensive master list</w:t>
      </w:r>
      <w:r w:rsidR="00C07B7D" w:rsidRPr="008501AB">
        <w:rPr>
          <w:sz w:val="22"/>
          <w:szCs w:val="22"/>
        </w:rPr>
        <w:t>.</w:t>
      </w:r>
      <w:r w:rsidR="00B11B88" w:rsidRPr="008501AB">
        <w:rPr>
          <w:sz w:val="22"/>
          <w:szCs w:val="22"/>
        </w:rPr>
        <w:t xml:space="preserve"> </w:t>
      </w:r>
    </w:p>
    <w:p w14:paraId="5FEBD4D9" w14:textId="34DAC658" w:rsidR="00B11B88" w:rsidRPr="008501AB" w:rsidRDefault="00B11B88" w:rsidP="00C07B7D">
      <w:pPr>
        <w:spacing w:line="240" w:lineRule="auto"/>
        <w:rPr>
          <w:sz w:val="22"/>
          <w:szCs w:val="22"/>
        </w:rPr>
      </w:pPr>
      <w:r w:rsidRPr="008501AB">
        <w:rPr>
          <w:sz w:val="22"/>
          <w:szCs w:val="22"/>
        </w:rPr>
        <w:t xml:space="preserve">Finally, the lists were organised into a spreadsheet of </w:t>
      </w:r>
      <w:r w:rsidR="009173A1" w:rsidRPr="008501AB">
        <w:rPr>
          <w:sz w:val="22"/>
          <w:szCs w:val="22"/>
        </w:rPr>
        <w:t xml:space="preserve">broad </w:t>
      </w:r>
      <w:r w:rsidRPr="008501AB">
        <w:rPr>
          <w:sz w:val="22"/>
          <w:szCs w:val="22"/>
        </w:rPr>
        <w:t xml:space="preserve">grammatical categories (e.g. verb groups) within which individual grammar features </w:t>
      </w:r>
      <w:r w:rsidR="00006001" w:rsidRPr="008501AB">
        <w:rPr>
          <w:sz w:val="22"/>
          <w:szCs w:val="22"/>
        </w:rPr>
        <w:t>were placed</w:t>
      </w:r>
      <w:r w:rsidRPr="008501AB">
        <w:rPr>
          <w:sz w:val="22"/>
          <w:szCs w:val="22"/>
        </w:rPr>
        <w:t>.</w:t>
      </w:r>
      <w:bookmarkStart w:id="0" w:name="_GoBack"/>
      <w:bookmarkEnd w:id="0"/>
    </w:p>
    <w:p w14:paraId="388B39E0" w14:textId="77777777" w:rsidR="00C07B7D" w:rsidRPr="008501AB" w:rsidRDefault="00C07B7D" w:rsidP="00C07B7D">
      <w:pPr>
        <w:spacing w:after="0" w:line="240" w:lineRule="auto"/>
        <w:rPr>
          <w:sz w:val="22"/>
          <w:szCs w:val="22"/>
        </w:rPr>
      </w:pPr>
    </w:p>
    <w:p w14:paraId="52D58D69" w14:textId="46E7A826" w:rsidR="009E25F2" w:rsidRPr="008501AB" w:rsidRDefault="0060434C" w:rsidP="00C07B7D">
      <w:pPr>
        <w:shd w:val="clear" w:color="auto" w:fill="FFFFFF"/>
        <w:spacing w:after="0" w:line="240" w:lineRule="auto"/>
        <w:rPr>
          <w:rFonts w:eastAsia="Times New Roman" w:cs="Calibri"/>
          <w:bCs/>
          <w:color w:val="201F1E"/>
          <w:sz w:val="24"/>
          <w:szCs w:val="24"/>
        </w:rPr>
      </w:pPr>
      <w:r w:rsidRPr="008501AB">
        <w:rPr>
          <w:rFonts w:eastAsia="Times New Roman" w:cs="Calibri"/>
          <w:b/>
          <w:bCs/>
          <w:color w:val="201F1E"/>
          <w:sz w:val="24"/>
          <w:szCs w:val="24"/>
        </w:rPr>
        <w:t>Note</w:t>
      </w:r>
      <w:r w:rsidR="00B11B88" w:rsidRPr="008501AB">
        <w:rPr>
          <w:rFonts w:eastAsia="Times New Roman" w:cs="Calibri"/>
          <w:b/>
          <w:bCs/>
          <w:color w:val="201F1E"/>
          <w:sz w:val="24"/>
          <w:szCs w:val="24"/>
        </w:rPr>
        <w:t>s</w:t>
      </w:r>
    </w:p>
    <w:p w14:paraId="5639606E" w14:textId="12EEDC4E" w:rsidR="00B11B88" w:rsidRPr="008501AB" w:rsidRDefault="008501AB" w:rsidP="00C07B7D">
      <w:pPr>
        <w:spacing w:line="240" w:lineRule="auto"/>
        <w:rPr>
          <w:rFonts w:eastAsia="Times New Roman" w:cs="Calibri"/>
          <w:bCs/>
          <w:color w:val="201F1E"/>
          <w:sz w:val="22"/>
          <w:szCs w:val="22"/>
        </w:rPr>
      </w:pPr>
      <w:r>
        <w:rPr>
          <w:rFonts w:eastAsia="Times New Roman" w:cs="Calibri"/>
          <w:bCs/>
          <w:color w:val="201F1E"/>
          <w:sz w:val="22"/>
          <w:szCs w:val="22"/>
        </w:rPr>
        <w:t>¹</w:t>
      </w:r>
      <w:r w:rsidR="00DD2833" w:rsidRPr="008501AB">
        <w:rPr>
          <w:rFonts w:eastAsia="Times New Roman" w:cs="Calibri"/>
          <w:bCs/>
          <w:color w:val="201F1E"/>
          <w:sz w:val="22"/>
          <w:szCs w:val="22"/>
        </w:rPr>
        <w:t>The term ‘word family’ refers here to</w:t>
      </w:r>
      <w:r w:rsidR="00B11B88" w:rsidRPr="008501AB">
        <w:rPr>
          <w:rFonts w:eastAsia="Times New Roman" w:cs="Calibri"/>
          <w:bCs/>
          <w:color w:val="201F1E"/>
          <w:sz w:val="22"/>
          <w:szCs w:val="22"/>
        </w:rPr>
        <w:t xml:space="preserve"> </w:t>
      </w:r>
      <w:r w:rsidR="00FE605D" w:rsidRPr="008501AB">
        <w:rPr>
          <w:rFonts w:eastAsia="Times New Roman" w:cs="Calibri"/>
          <w:bCs/>
          <w:color w:val="201F1E"/>
          <w:sz w:val="22"/>
          <w:szCs w:val="22"/>
        </w:rPr>
        <w:t xml:space="preserve">a version of </w:t>
      </w:r>
      <w:r w:rsidR="00B11B88" w:rsidRPr="008501AB">
        <w:rPr>
          <w:rFonts w:eastAsia="Times New Roman" w:cs="Calibri"/>
          <w:bCs/>
          <w:color w:val="201F1E"/>
          <w:sz w:val="22"/>
          <w:szCs w:val="22"/>
        </w:rPr>
        <w:t xml:space="preserve">level two of Bauer &amp; Nation’s (1993) seven levels of affixes. At level two, the dictionary form of the word is listed and it is assumed that inflections </w:t>
      </w:r>
      <w:r w:rsidR="00006001" w:rsidRPr="008501AB">
        <w:rPr>
          <w:rFonts w:eastAsia="Times New Roman" w:cs="Calibri"/>
          <w:bCs/>
          <w:color w:val="201F1E"/>
          <w:sz w:val="22"/>
          <w:szCs w:val="22"/>
        </w:rPr>
        <w:t xml:space="preserve">(endings) </w:t>
      </w:r>
      <w:r w:rsidR="00B11B88" w:rsidRPr="008501AB">
        <w:rPr>
          <w:rFonts w:eastAsia="Times New Roman" w:cs="Calibri"/>
          <w:bCs/>
          <w:color w:val="201F1E"/>
          <w:sz w:val="22"/>
          <w:szCs w:val="22"/>
        </w:rPr>
        <w:t>with a grammatical function (</w:t>
      </w:r>
      <w:r w:rsidR="00C07B7D" w:rsidRPr="008501AB">
        <w:rPr>
          <w:rFonts w:eastAsia="Times New Roman" w:cs="Calibri"/>
          <w:bCs/>
          <w:color w:val="201F1E"/>
          <w:sz w:val="22"/>
          <w:szCs w:val="22"/>
        </w:rPr>
        <w:t>e.g.,</w:t>
      </w:r>
      <w:r w:rsidR="00B11B88" w:rsidRPr="008501AB">
        <w:rPr>
          <w:rFonts w:eastAsia="Times New Roman" w:cs="Calibri"/>
          <w:bCs/>
          <w:color w:val="201F1E"/>
          <w:sz w:val="22"/>
          <w:szCs w:val="22"/>
        </w:rPr>
        <w:t xml:space="preserve"> plural –s</w:t>
      </w:r>
      <w:r w:rsidR="00006001" w:rsidRPr="008501AB">
        <w:rPr>
          <w:rFonts w:eastAsia="Times New Roman" w:cs="Calibri"/>
          <w:bCs/>
          <w:color w:val="201F1E"/>
          <w:sz w:val="22"/>
          <w:szCs w:val="22"/>
        </w:rPr>
        <w:t xml:space="preserve"> in English</w:t>
      </w:r>
      <w:r w:rsidR="00B11B88" w:rsidRPr="008501AB">
        <w:rPr>
          <w:rFonts w:eastAsia="Times New Roman" w:cs="Calibri"/>
          <w:bCs/>
          <w:color w:val="201F1E"/>
          <w:sz w:val="22"/>
          <w:szCs w:val="22"/>
        </w:rPr>
        <w:t xml:space="preserve">) </w:t>
      </w:r>
      <w:r w:rsidR="00384C24" w:rsidRPr="008501AB">
        <w:rPr>
          <w:rFonts w:eastAsia="Times New Roman" w:cs="Calibri"/>
          <w:bCs/>
          <w:color w:val="201F1E"/>
          <w:sz w:val="22"/>
          <w:szCs w:val="22"/>
        </w:rPr>
        <w:t>are known.</w:t>
      </w:r>
    </w:p>
    <w:p w14:paraId="148C0BE8" w14:textId="1FC77070" w:rsidR="00C07B7D" w:rsidRPr="008501AB" w:rsidRDefault="008501AB" w:rsidP="00C07B7D">
      <w:pPr>
        <w:spacing w:after="0" w:line="240" w:lineRule="auto"/>
        <w:rPr>
          <w:rFonts w:eastAsia="Times New Roman" w:cs="Calibri"/>
          <w:bCs/>
          <w:color w:val="201F1E"/>
          <w:sz w:val="22"/>
          <w:szCs w:val="22"/>
        </w:rPr>
      </w:pPr>
      <w:r w:rsidRPr="00882EEB">
        <w:rPr>
          <w:rFonts w:eastAsia="Times New Roman" w:cs="Calibri"/>
          <w:bCs/>
          <w:color w:val="201F1E"/>
          <w:sz w:val="22"/>
          <w:szCs w:val="22"/>
          <w:vertAlign w:val="superscript"/>
        </w:rPr>
        <w:t>2</w:t>
      </w:r>
      <w:r>
        <w:rPr>
          <w:rFonts w:eastAsia="Times New Roman" w:cs="Calibri"/>
          <w:bCs/>
          <w:color w:val="201F1E"/>
          <w:sz w:val="22"/>
          <w:szCs w:val="22"/>
        </w:rPr>
        <w:t>Note that the examples</w:t>
      </w:r>
      <w:r w:rsidR="00AC3684">
        <w:rPr>
          <w:rFonts w:eastAsia="Times New Roman" w:cs="Calibri"/>
          <w:bCs/>
          <w:color w:val="201F1E"/>
          <w:sz w:val="22"/>
          <w:szCs w:val="22"/>
        </w:rPr>
        <w:t xml:space="preserve"> listed</w:t>
      </w:r>
      <w:r>
        <w:rPr>
          <w:rFonts w:eastAsia="Times New Roman" w:cs="Calibri"/>
          <w:bCs/>
          <w:color w:val="201F1E"/>
          <w:sz w:val="22"/>
          <w:szCs w:val="22"/>
        </w:rPr>
        <w:t xml:space="preserve"> in this resource are not </w:t>
      </w:r>
      <w:r w:rsidR="00AC3684">
        <w:rPr>
          <w:rFonts w:eastAsia="Times New Roman" w:cs="Calibri"/>
          <w:bCs/>
          <w:color w:val="201F1E"/>
          <w:sz w:val="22"/>
          <w:szCs w:val="22"/>
        </w:rPr>
        <w:t>formatted</w:t>
      </w:r>
      <w:r>
        <w:rPr>
          <w:rFonts w:eastAsia="Times New Roman" w:cs="Calibri"/>
          <w:bCs/>
          <w:color w:val="201F1E"/>
          <w:sz w:val="22"/>
          <w:szCs w:val="22"/>
        </w:rPr>
        <w:t xml:space="preserve"> in line with</w:t>
      </w:r>
      <w:r w:rsidR="00AC3684">
        <w:rPr>
          <w:rFonts w:eastAsia="Times New Roman" w:cs="Calibri"/>
          <w:bCs/>
          <w:color w:val="201F1E"/>
          <w:sz w:val="22"/>
          <w:szCs w:val="22"/>
        </w:rPr>
        <w:t xml:space="preserve"> the notation </w:t>
      </w:r>
      <w:r w:rsidR="00882EEB">
        <w:rPr>
          <w:rFonts w:eastAsia="Times New Roman" w:cs="Calibri"/>
          <w:bCs/>
          <w:color w:val="201F1E"/>
          <w:sz w:val="22"/>
          <w:szCs w:val="22"/>
        </w:rPr>
        <w:t>in Annex E</w:t>
      </w:r>
      <w:r w:rsidR="00AC3684">
        <w:rPr>
          <w:rFonts w:eastAsia="Times New Roman" w:cs="Calibri"/>
          <w:bCs/>
          <w:color w:val="201F1E"/>
          <w:sz w:val="22"/>
          <w:szCs w:val="22"/>
        </w:rPr>
        <w:t>.</w:t>
      </w:r>
      <w:r>
        <w:rPr>
          <w:rFonts w:eastAsia="Times New Roman" w:cs="Calibri"/>
          <w:bCs/>
          <w:color w:val="201F1E"/>
          <w:sz w:val="22"/>
          <w:szCs w:val="22"/>
        </w:rPr>
        <w:t xml:space="preserve"> </w:t>
      </w:r>
      <w:r w:rsidR="00AC3684">
        <w:rPr>
          <w:rFonts w:eastAsia="Times New Roman" w:cs="Calibri"/>
          <w:bCs/>
          <w:color w:val="201F1E"/>
          <w:sz w:val="22"/>
          <w:szCs w:val="22"/>
        </w:rPr>
        <w:t>Only L2 headwords and some suggested English translations are provided (alternative translations and the inclusion or otherwise of e.g., orthographic variations</w:t>
      </w:r>
      <w:r w:rsidR="000D3696">
        <w:rPr>
          <w:rFonts w:eastAsia="Times New Roman" w:cs="Calibri"/>
          <w:bCs/>
          <w:color w:val="201F1E"/>
          <w:sz w:val="22"/>
          <w:szCs w:val="22"/>
        </w:rPr>
        <w:t xml:space="preserve"> </w:t>
      </w:r>
      <w:r w:rsidR="00AC3684">
        <w:rPr>
          <w:rFonts w:eastAsia="Times New Roman" w:cs="Calibri"/>
          <w:bCs/>
          <w:color w:val="201F1E"/>
          <w:sz w:val="22"/>
          <w:szCs w:val="22"/>
        </w:rPr>
        <w:t xml:space="preserve">and prepositions </w:t>
      </w:r>
      <w:r w:rsidR="000D3696">
        <w:rPr>
          <w:rFonts w:eastAsia="Times New Roman" w:cs="Calibri"/>
          <w:bCs/>
          <w:color w:val="201F1E"/>
          <w:sz w:val="22"/>
          <w:szCs w:val="22"/>
        </w:rPr>
        <w:t>or</w:t>
      </w:r>
      <w:r w:rsidR="00AC3684">
        <w:rPr>
          <w:rFonts w:eastAsia="Times New Roman" w:cs="Calibri"/>
          <w:bCs/>
          <w:color w:val="201F1E"/>
          <w:sz w:val="22"/>
          <w:szCs w:val="22"/>
        </w:rPr>
        <w:t xml:space="preserve"> reflexive pronouns with verbs are at the discretion of the list creator)</w:t>
      </w:r>
      <w:r>
        <w:rPr>
          <w:rFonts w:eastAsia="Times New Roman" w:cs="Calibri"/>
          <w:bCs/>
          <w:color w:val="201F1E"/>
          <w:sz w:val="22"/>
          <w:szCs w:val="22"/>
        </w:rPr>
        <w:t xml:space="preserve">. Please refer to Annex E </w:t>
      </w:r>
      <w:r w:rsidR="00882EEB">
        <w:rPr>
          <w:rFonts w:eastAsia="Times New Roman" w:cs="Calibri"/>
          <w:bCs/>
          <w:color w:val="201F1E"/>
          <w:sz w:val="22"/>
          <w:szCs w:val="22"/>
        </w:rPr>
        <w:t>for a suggested format</w:t>
      </w:r>
      <w:r>
        <w:rPr>
          <w:rFonts w:eastAsia="Times New Roman" w:cs="Calibri"/>
          <w:bCs/>
          <w:color w:val="201F1E"/>
          <w:sz w:val="22"/>
          <w:szCs w:val="22"/>
        </w:rPr>
        <w:t>.</w:t>
      </w:r>
    </w:p>
    <w:p w14:paraId="74BF78F3" w14:textId="77777777" w:rsidR="008501AB" w:rsidRPr="008501AB" w:rsidRDefault="008501AB" w:rsidP="00C07B7D">
      <w:pPr>
        <w:spacing w:after="0" w:line="240" w:lineRule="auto"/>
        <w:rPr>
          <w:rFonts w:eastAsia="Times New Roman" w:cs="Calibri"/>
          <w:bCs/>
          <w:color w:val="201F1E"/>
          <w:sz w:val="22"/>
          <w:szCs w:val="22"/>
        </w:rPr>
      </w:pPr>
    </w:p>
    <w:p w14:paraId="2D776960" w14:textId="77777777" w:rsidR="00B11B88" w:rsidRPr="00882EEB" w:rsidRDefault="00EF4F45" w:rsidP="00C07B7D">
      <w:pPr>
        <w:shd w:val="clear" w:color="auto" w:fill="FFFFFF"/>
        <w:spacing w:after="0" w:line="240" w:lineRule="auto"/>
        <w:rPr>
          <w:rFonts w:eastAsia="Times New Roman" w:cs="Calibri"/>
          <w:bCs/>
          <w:color w:val="201F1E"/>
          <w:sz w:val="22"/>
          <w:szCs w:val="22"/>
        </w:rPr>
      </w:pPr>
      <w:r w:rsidRPr="00882EEB">
        <w:rPr>
          <w:rFonts w:eastAsia="Times New Roman" w:cs="Calibri"/>
          <w:b/>
          <w:bCs/>
          <w:color w:val="201F1E"/>
          <w:sz w:val="22"/>
          <w:szCs w:val="22"/>
        </w:rPr>
        <w:t>References</w:t>
      </w:r>
      <w:r w:rsidR="00B11B88" w:rsidRPr="00882EEB">
        <w:rPr>
          <w:rFonts w:eastAsia="Times New Roman" w:cs="Calibri"/>
          <w:bCs/>
          <w:color w:val="201F1E"/>
          <w:sz w:val="22"/>
          <w:szCs w:val="22"/>
        </w:rPr>
        <w:t xml:space="preserve"> </w:t>
      </w:r>
    </w:p>
    <w:p w14:paraId="2DE0D639" w14:textId="73D11038" w:rsidR="00B11B88" w:rsidRPr="008501AB" w:rsidRDefault="00B11B88" w:rsidP="00C07B7D">
      <w:pPr>
        <w:shd w:val="clear" w:color="auto" w:fill="FFFFFF"/>
        <w:spacing w:after="0" w:line="240" w:lineRule="auto"/>
        <w:rPr>
          <w:sz w:val="22"/>
          <w:szCs w:val="22"/>
        </w:rPr>
      </w:pPr>
      <w:r w:rsidRPr="00882EEB">
        <w:rPr>
          <w:rFonts w:eastAsia="Times New Roman" w:cs="Calibri"/>
          <w:bCs/>
          <w:color w:val="201F1E"/>
          <w:sz w:val="22"/>
          <w:szCs w:val="22"/>
        </w:rPr>
        <w:t xml:space="preserve">Bauer, L., &amp; Nation, P. (1993). </w:t>
      </w:r>
      <w:r w:rsidRPr="008501AB">
        <w:rPr>
          <w:rFonts w:eastAsia="Times New Roman" w:cs="Calibri"/>
          <w:bCs/>
          <w:color w:val="201F1E"/>
          <w:sz w:val="22"/>
          <w:szCs w:val="22"/>
        </w:rPr>
        <w:t xml:space="preserve">Word Families. </w:t>
      </w:r>
      <w:r w:rsidRPr="008501AB">
        <w:rPr>
          <w:rFonts w:eastAsia="Times New Roman" w:cs="Calibri"/>
          <w:bCs/>
          <w:i/>
          <w:color w:val="201F1E"/>
          <w:sz w:val="22"/>
          <w:szCs w:val="22"/>
        </w:rPr>
        <w:t xml:space="preserve">International Journal of Lexicography, </w:t>
      </w:r>
      <w:r w:rsidRPr="008501AB">
        <w:rPr>
          <w:rFonts w:eastAsia="Times New Roman" w:cs="Calibri"/>
          <w:bCs/>
          <w:color w:val="201F1E"/>
          <w:sz w:val="22"/>
          <w:szCs w:val="22"/>
        </w:rPr>
        <w:t>6(4), pp. 253-279.</w:t>
      </w:r>
    </w:p>
    <w:sectPr w:rsidR="00B11B88" w:rsidRPr="008501AB" w:rsidSect="003B636C">
      <w:headerReference w:type="default" r:id="rId10"/>
      <w:footerReference w:type="default" r:id="rId11"/>
      <w:pgSz w:w="11906" w:h="16838"/>
      <w:pgMar w:top="583" w:right="566" w:bottom="336" w:left="567" w:header="283" w:footer="624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AFFD8A" w16cid:durableId="2564B0A8"/>
  <w16cid:commentId w16cid:paraId="287297EC" w16cid:durableId="2564B007"/>
  <w16cid:commentId w16cid:paraId="0E9D0C8B" w16cid:durableId="25650A69"/>
  <w16cid:commentId w16cid:paraId="19C8AEF5" w16cid:durableId="2564B008"/>
  <w16cid:commentId w16cid:paraId="7E0F2611" w16cid:durableId="25650A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88C27" w14:textId="77777777" w:rsidR="00112CDE" w:rsidRDefault="00112CDE" w:rsidP="00180B91">
      <w:pPr>
        <w:spacing w:after="0" w:line="240" w:lineRule="auto"/>
      </w:pPr>
      <w:r>
        <w:separator/>
      </w:r>
    </w:p>
  </w:endnote>
  <w:endnote w:type="continuationSeparator" w:id="0">
    <w:p w14:paraId="0AF37C6C" w14:textId="77777777" w:rsidR="00112CDE" w:rsidRDefault="00112CD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A945" w14:textId="5523293D" w:rsidR="00B57CF0" w:rsidRPr="00175567" w:rsidRDefault="00B57CF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41C7FBE7" wp14:editId="40F1DA9C">
          <wp:simplePos x="0" y="0"/>
          <wp:positionH relativeFrom="column">
            <wp:posOffset>-356536</wp:posOffset>
          </wp:positionH>
          <wp:positionV relativeFrom="paragraph">
            <wp:posOffset>46990</wp:posOffset>
          </wp:positionV>
          <wp:extent cx="7550751" cy="57848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1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BC336" w14:textId="77777777" w:rsidR="00112CDE" w:rsidRDefault="00112CDE" w:rsidP="00180B91">
      <w:pPr>
        <w:spacing w:after="0" w:line="240" w:lineRule="auto"/>
      </w:pPr>
      <w:r>
        <w:separator/>
      </w:r>
    </w:p>
  </w:footnote>
  <w:footnote w:type="continuationSeparator" w:id="0">
    <w:p w14:paraId="25998083" w14:textId="77777777" w:rsidR="00112CDE" w:rsidRDefault="00112CD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0FB5" w14:textId="77777777" w:rsidR="00B57CF0" w:rsidRPr="00175567" w:rsidRDefault="00B57CF0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64EA"/>
    <w:multiLevelType w:val="hybridMultilevel"/>
    <w:tmpl w:val="73EA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71317"/>
    <w:multiLevelType w:val="hybridMultilevel"/>
    <w:tmpl w:val="23CC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75D79"/>
    <w:multiLevelType w:val="multilevel"/>
    <w:tmpl w:val="59FE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57A74"/>
    <w:multiLevelType w:val="hybridMultilevel"/>
    <w:tmpl w:val="0A76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24E17"/>
    <w:multiLevelType w:val="multilevel"/>
    <w:tmpl w:val="258A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34"/>
    <w:rsid w:val="00006001"/>
    <w:rsid w:val="000063A8"/>
    <w:rsid w:val="0001477F"/>
    <w:rsid w:val="0002651D"/>
    <w:rsid w:val="00030704"/>
    <w:rsid w:val="00030BB2"/>
    <w:rsid w:val="0003261C"/>
    <w:rsid w:val="000401ED"/>
    <w:rsid w:val="00047D25"/>
    <w:rsid w:val="00053AC1"/>
    <w:rsid w:val="00062CD9"/>
    <w:rsid w:val="00067513"/>
    <w:rsid w:val="000675FC"/>
    <w:rsid w:val="00080917"/>
    <w:rsid w:val="000A706B"/>
    <w:rsid w:val="000B632C"/>
    <w:rsid w:val="000C3610"/>
    <w:rsid w:val="000D3696"/>
    <w:rsid w:val="00112CDE"/>
    <w:rsid w:val="001269EE"/>
    <w:rsid w:val="00144FBB"/>
    <w:rsid w:val="001454AF"/>
    <w:rsid w:val="00152EBB"/>
    <w:rsid w:val="00153D34"/>
    <w:rsid w:val="00155F94"/>
    <w:rsid w:val="00160B4A"/>
    <w:rsid w:val="00174B92"/>
    <w:rsid w:val="00175567"/>
    <w:rsid w:val="00176C91"/>
    <w:rsid w:val="00180B91"/>
    <w:rsid w:val="00183368"/>
    <w:rsid w:val="00186E8E"/>
    <w:rsid w:val="00191A46"/>
    <w:rsid w:val="00194C0C"/>
    <w:rsid w:val="001C7769"/>
    <w:rsid w:val="0024073C"/>
    <w:rsid w:val="002414E2"/>
    <w:rsid w:val="00255CAF"/>
    <w:rsid w:val="00257F93"/>
    <w:rsid w:val="002604E5"/>
    <w:rsid w:val="00271CB5"/>
    <w:rsid w:val="00275541"/>
    <w:rsid w:val="00283FDA"/>
    <w:rsid w:val="002B1077"/>
    <w:rsid w:val="002C0CC4"/>
    <w:rsid w:val="002D52D5"/>
    <w:rsid w:val="002E04AF"/>
    <w:rsid w:val="002E501E"/>
    <w:rsid w:val="002F0458"/>
    <w:rsid w:val="00304463"/>
    <w:rsid w:val="003526AA"/>
    <w:rsid w:val="00371550"/>
    <w:rsid w:val="003737A8"/>
    <w:rsid w:val="00384C24"/>
    <w:rsid w:val="00387F7C"/>
    <w:rsid w:val="003945B5"/>
    <w:rsid w:val="003A515D"/>
    <w:rsid w:val="003B636C"/>
    <w:rsid w:val="003F65C6"/>
    <w:rsid w:val="00403FAC"/>
    <w:rsid w:val="004266CD"/>
    <w:rsid w:val="00445BBF"/>
    <w:rsid w:val="0044626A"/>
    <w:rsid w:val="00471C7A"/>
    <w:rsid w:val="00475D8F"/>
    <w:rsid w:val="00481813"/>
    <w:rsid w:val="004929A6"/>
    <w:rsid w:val="0049637D"/>
    <w:rsid w:val="004B22BF"/>
    <w:rsid w:val="004B5AA7"/>
    <w:rsid w:val="004B6E5E"/>
    <w:rsid w:val="004C2CF0"/>
    <w:rsid w:val="004D3E99"/>
    <w:rsid w:val="004D7EA8"/>
    <w:rsid w:val="004E400B"/>
    <w:rsid w:val="004E739C"/>
    <w:rsid w:val="004E7CBA"/>
    <w:rsid w:val="004F5ED7"/>
    <w:rsid w:val="00511A3D"/>
    <w:rsid w:val="00513E6A"/>
    <w:rsid w:val="005241F7"/>
    <w:rsid w:val="00526517"/>
    <w:rsid w:val="005474EC"/>
    <w:rsid w:val="00547B1A"/>
    <w:rsid w:val="005633DF"/>
    <w:rsid w:val="00573A01"/>
    <w:rsid w:val="00585CFA"/>
    <w:rsid w:val="005A05F7"/>
    <w:rsid w:val="005C21E6"/>
    <w:rsid w:val="0060126C"/>
    <w:rsid w:val="006016F9"/>
    <w:rsid w:val="0060434C"/>
    <w:rsid w:val="00644C2F"/>
    <w:rsid w:val="006527CF"/>
    <w:rsid w:val="00666C57"/>
    <w:rsid w:val="006827CE"/>
    <w:rsid w:val="00687427"/>
    <w:rsid w:val="00692D34"/>
    <w:rsid w:val="006B018E"/>
    <w:rsid w:val="006B5529"/>
    <w:rsid w:val="006E2DD8"/>
    <w:rsid w:val="0070616E"/>
    <w:rsid w:val="0071345D"/>
    <w:rsid w:val="00725834"/>
    <w:rsid w:val="00730D94"/>
    <w:rsid w:val="00735A44"/>
    <w:rsid w:val="00740706"/>
    <w:rsid w:val="0075721A"/>
    <w:rsid w:val="00757788"/>
    <w:rsid w:val="00774CBC"/>
    <w:rsid w:val="0078394B"/>
    <w:rsid w:val="0078607E"/>
    <w:rsid w:val="00794FC8"/>
    <w:rsid w:val="00795C7B"/>
    <w:rsid w:val="007A53DD"/>
    <w:rsid w:val="007C4D00"/>
    <w:rsid w:val="007C505B"/>
    <w:rsid w:val="007D6A24"/>
    <w:rsid w:val="007E099E"/>
    <w:rsid w:val="007F486E"/>
    <w:rsid w:val="007F7B89"/>
    <w:rsid w:val="00810A7E"/>
    <w:rsid w:val="0081356B"/>
    <w:rsid w:val="00820A89"/>
    <w:rsid w:val="008272B5"/>
    <w:rsid w:val="00846213"/>
    <w:rsid w:val="008501AB"/>
    <w:rsid w:val="00872414"/>
    <w:rsid w:val="00882EEB"/>
    <w:rsid w:val="00887AE6"/>
    <w:rsid w:val="00891CAE"/>
    <w:rsid w:val="008C730D"/>
    <w:rsid w:val="008E5042"/>
    <w:rsid w:val="008E50E9"/>
    <w:rsid w:val="008F627A"/>
    <w:rsid w:val="009003DB"/>
    <w:rsid w:val="00903790"/>
    <w:rsid w:val="00905430"/>
    <w:rsid w:val="00910018"/>
    <w:rsid w:val="00914898"/>
    <w:rsid w:val="009173A1"/>
    <w:rsid w:val="00917536"/>
    <w:rsid w:val="00921FDA"/>
    <w:rsid w:val="00965C7E"/>
    <w:rsid w:val="00981B1B"/>
    <w:rsid w:val="009A0981"/>
    <w:rsid w:val="009A0D9F"/>
    <w:rsid w:val="009A4A2C"/>
    <w:rsid w:val="009D0279"/>
    <w:rsid w:val="009E25F2"/>
    <w:rsid w:val="009E552C"/>
    <w:rsid w:val="00A26D20"/>
    <w:rsid w:val="00A27D29"/>
    <w:rsid w:val="00A425C7"/>
    <w:rsid w:val="00A45685"/>
    <w:rsid w:val="00A618BA"/>
    <w:rsid w:val="00A7681D"/>
    <w:rsid w:val="00A842EA"/>
    <w:rsid w:val="00A86465"/>
    <w:rsid w:val="00AA0560"/>
    <w:rsid w:val="00AA359C"/>
    <w:rsid w:val="00AB3B45"/>
    <w:rsid w:val="00AC3684"/>
    <w:rsid w:val="00AD1F16"/>
    <w:rsid w:val="00AE312B"/>
    <w:rsid w:val="00AF7791"/>
    <w:rsid w:val="00B11B88"/>
    <w:rsid w:val="00B1332B"/>
    <w:rsid w:val="00B274E9"/>
    <w:rsid w:val="00B27CBD"/>
    <w:rsid w:val="00B35D2F"/>
    <w:rsid w:val="00B57CF0"/>
    <w:rsid w:val="00B96745"/>
    <w:rsid w:val="00BC566E"/>
    <w:rsid w:val="00BD3551"/>
    <w:rsid w:val="00BD44B2"/>
    <w:rsid w:val="00BD72BD"/>
    <w:rsid w:val="00BE1540"/>
    <w:rsid w:val="00C0087D"/>
    <w:rsid w:val="00C01F8D"/>
    <w:rsid w:val="00C07B7D"/>
    <w:rsid w:val="00C302C9"/>
    <w:rsid w:val="00C61FDA"/>
    <w:rsid w:val="00C62C87"/>
    <w:rsid w:val="00C65BC4"/>
    <w:rsid w:val="00C66500"/>
    <w:rsid w:val="00C71CBF"/>
    <w:rsid w:val="00C746A0"/>
    <w:rsid w:val="00C93035"/>
    <w:rsid w:val="00CB3EF0"/>
    <w:rsid w:val="00CC0B02"/>
    <w:rsid w:val="00CC1064"/>
    <w:rsid w:val="00CD362E"/>
    <w:rsid w:val="00CD3828"/>
    <w:rsid w:val="00CD580F"/>
    <w:rsid w:val="00CD61AB"/>
    <w:rsid w:val="00CF2237"/>
    <w:rsid w:val="00CF7216"/>
    <w:rsid w:val="00D21BA8"/>
    <w:rsid w:val="00D245AD"/>
    <w:rsid w:val="00D24ED3"/>
    <w:rsid w:val="00D26D26"/>
    <w:rsid w:val="00D53ED3"/>
    <w:rsid w:val="00D84D49"/>
    <w:rsid w:val="00D979BD"/>
    <w:rsid w:val="00DB790D"/>
    <w:rsid w:val="00DD2833"/>
    <w:rsid w:val="00DD41C1"/>
    <w:rsid w:val="00DE08F0"/>
    <w:rsid w:val="00DE3D4B"/>
    <w:rsid w:val="00E36F4B"/>
    <w:rsid w:val="00E4449F"/>
    <w:rsid w:val="00E55D0E"/>
    <w:rsid w:val="00E57318"/>
    <w:rsid w:val="00E671C8"/>
    <w:rsid w:val="00E7138B"/>
    <w:rsid w:val="00E719BC"/>
    <w:rsid w:val="00E90FA3"/>
    <w:rsid w:val="00E9280E"/>
    <w:rsid w:val="00E94F54"/>
    <w:rsid w:val="00EB165E"/>
    <w:rsid w:val="00EB2D54"/>
    <w:rsid w:val="00EF0480"/>
    <w:rsid w:val="00EF4F45"/>
    <w:rsid w:val="00F00F71"/>
    <w:rsid w:val="00F10E25"/>
    <w:rsid w:val="00F34CC4"/>
    <w:rsid w:val="00F36C06"/>
    <w:rsid w:val="00F43C9F"/>
    <w:rsid w:val="00F5474A"/>
    <w:rsid w:val="00F71615"/>
    <w:rsid w:val="00F726E5"/>
    <w:rsid w:val="00F76F6B"/>
    <w:rsid w:val="00F9661E"/>
    <w:rsid w:val="00F97B14"/>
    <w:rsid w:val="00FA5206"/>
    <w:rsid w:val="00FD4694"/>
    <w:rsid w:val="00FE605D"/>
    <w:rsid w:val="00FF4201"/>
    <w:rsid w:val="00FF556E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6E3B95"/>
  <w15:chartTrackingRefBased/>
  <w15:docId w15:val="{8A38D164-E09E-4D3D-ADFE-B6E46266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1B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B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4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4B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94F5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401ED"/>
    <w:rPr>
      <w:color w:val="954F72" w:themeColor="followedHyperlink"/>
      <w:u w:val="single"/>
    </w:rPr>
  </w:style>
  <w:style w:type="character" w:customStyle="1" w:styleId="Date1">
    <w:name w:val="Date1"/>
    <w:basedOn w:val="DefaultParagraphFont"/>
    <w:rsid w:val="005A05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D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66CD"/>
    <w:pPr>
      <w:spacing w:after="0" w:line="240" w:lineRule="auto"/>
    </w:pPr>
  </w:style>
  <w:style w:type="character" w:customStyle="1" w:styleId="hlfld-contribauthor">
    <w:name w:val="hlfld-contribauthor"/>
    <w:basedOn w:val="DefaultParagraphFont"/>
    <w:rsid w:val="004929A6"/>
  </w:style>
  <w:style w:type="character" w:customStyle="1" w:styleId="nlmgiven-names">
    <w:name w:val="nlm_given-names"/>
    <w:basedOn w:val="DefaultParagraphFont"/>
    <w:rsid w:val="004929A6"/>
  </w:style>
  <w:style w:type="character" w:customStyle="1" w:styleId="nlmyear">
    <w:name w:val="nlm_year"/>
    <w:basedOn w:val="DefaultParagraphFont"/>
    <w:rsid w:val="004929A6"/>
  </w:style>
  <w:style w:type="character" w:customStyle="1" w:styleId="nlmarticle-title">
    <w:name w:val="nlm_article-title"/>
    <w:basedOn w:val="DefaultParagraphFont"/>
    <w:rsid w:val="004929A6"/>
  </w:style>
  <w:style w:type="character" w:customStyle="1" w:styleId="nlmfpage">
    <w:name w:val="nlm_fpage"/>
    <w:basedOn w:val="DefaultParagraphFont"/>
    <w:rsid w:val="004929A6"/>
  </w:style>
  <w:style w:type="character" w:customStyle="1" w:styleId="nlmlpage">
    <w:name w:val="nlm_lpage"/>
    <w:basedOn w:val="DefaultParagraphFont"/>
    <w:rsid w:val="004929A6"/>
  </w:style>
  <w:style w:type="character" w:customStyle="1" w:styleId="reflink-block">
    <w:name w:val="reflink-block"/>
    <w:basedOn w:val="DefaultParagraphFont"/>
    <w:rsid w:val="004929A6"/>
  </w:style>
  <w:style w:type="character" w:customStyle="1" w:styleId="xlinks-container">
    <w:name w:val="xlinks-container"/>
    <w:basedOn w:val="DefaultParagraphFont"/>
    <w:rsid w:val="004929A6"/>
  </w:style>
  <w:style w:type="character" w:customStyle="1" w:styleId="googlescholar-container">
    <w:name w:val="googlescholar-container"/>
    <w:basedOn w:val="DefaultParagraphFont"/>
    <w:rsid w:val="004929A6"/>
  </w:style>
  <w:style w:type="character" w:customStyle="1" w:styleId="nlmpublisher-loc">
    <w:name w:val="nlm_publisher-loc"/>
    <w:basedOn w:val="DefaultParagraphFont"/>
    <w:rsid w:val="004929A6"/>
  </w:style>
  <w:style w:type="character" w:customStyle="1" w:styleId="nlmpublisher-name">
    <w:name w:val="nlm_publisher-name"/>
    <w:basedOn w:val="DefaultParagraphFont"/>
    <w:rsid w:val="0049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9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ncelp.org/concern/resources/t722h880z?locale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ources.ncelp.org/concern/resources/t148fj60d?locale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ources.ncelp.org/concern/resources/rv042v928?locale=en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Nicholas Avery</cp:lastModifiedBy>
  <cp:revision>2</cp:revision>
  <dcterms:created xsi:type="dcterms:W3CDTF">2022-01-14T11:42:00Z</dcterms:created>
  <dcterms:modified xsi:type="dcterms:W3CDTF">2022-01-14T11:42:00Z</dcterms:modified>
</cp:coreProperties>
</file>