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E3B6" w14:textId="417C06AB" w:rsidR="00EA557B" w:rsidRPr="00DA7F28" w:rsidRDefault="00540089" w:rsidP="00DA7F28">
      <w:pPr>
        <w:pStyle w:val="Title"/>
      </w:pPr>
      <w:r w:rsidRPr="00DA7F28">
        <w:t xml:space="preserve">KS3 </w:t>
      </w:r>
      <w:r w:rsidR="00EA557B" w:rsidRPr="00DA7F28">
        <w:t xml:space="preserve">SOW </w:t>
      </w:r>
      <w:r w:rsidR="00BF1E88" w:rsidRPr="00DA7F28">
        <w:t xml:space="preserve">analysis, </w:t>
      </w:r>
      <w:r w:rsidR="003D7B7F" w:rsidRPr="00DA7F28">
        <w:t>adaption and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31"/>
        <w:gridCol w:w="4921"/>
      </w:tblGrid>
      <w:tr w:rsidR="00BF1E88" w:rsidRPr="00BF1E88" w14:paraId="66C9C3CE" w14:textId="77777777" w:rsidTr="00304799">
        <w:trPr>
          <w:trHeight w:val="316"/>
        </w:trPr>
        <w:tc>
          <w:tcPr>
            <w:tcW w:w="3823" w:type="dxa"/>
          </w:tcPr>
          <w:p w14:paraId="1B31A7BE" w14:textId="77777777" w:rsidR="006A7971" w:rsidRPr="00BF1E88" w:rsidRDefault="006A7971" w:rsidP="00A277F2">
            <w:pPr>
              <w:tabs>
                <w:tab w:val="left" w:pos="6774"/>
              </w:tabs>
              <w:rPr>
                <w:b/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b/>
                <w:color w:val="1F3864" w:themeColor="accent5" w:themeShade="80"/>
                <w:sz w:val="22"/>
                <w:szCs w:val="22"/>
              </w:rPr>
              <w:t>Analysis</w:t>
            </w:r>
            <w:r w:rsidR="00304799" w:rsidRPr="00BF1E88">
              <w:rPr>
                <w:b/>
                <w:color w:val="1F3864" w:themeColor="accent5" w:themeShade="80"/>
                <w:sz w:val="22"/>
                <w:szCs w:val="22"/>
              </w:rPr>
              <w:t xml:space="preserve"> </w:t>
            </w:r>
            <w:r w:rsidR="00304799" w:rsidRPr="00BF1E88">
              <w:rPr>
                <w:color w:val="1F3864" w:themeColor="accent5" w:themeShade="80"/>
                <w:sz w:val="22"/>
                <w:szCs w:val="22"/>
              </w:rPr>
              <w:t>(Intent and Implementation)</w:t>
            </w:r>
          </w:p>
        </w:tc>
        <w:tc>
          <w:tcPr>
            <w:tcW w:w="6831" w:type="dxa"/>
          </w:tcPr>
          <w:p w14:paraId="5AFCE9B5" w14:textId="77777777" w:rsidR="006A7971" w:rsidRPr="00BF1E88" w:rsidRDefault="006A7971" w:rsidP="00415916">
            <w:pPr>
              <w:tabs>
                <w:tab w:val="left" w:pos="6774"/>
              </w:tabs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b/>
                <w:color w:val="1F3864" w:themeColor="accent5" w:themeShade="80"/>
                <w:sz w:val="22"/>
                <w:szCs w:val="22"/>
              </w:rPr>
              <w:t>Adaption</w:t>
            </w:r>
          </w:p>
        </w:tc>
        <w:tc>
          <w:tcPr>
            <w:tcW w:w="4921" w:type="dxa"/>
          </w:tcPr>
          <w:p w14:paraId="339E9BBF" w14:textId="77777777" w:rsidR="006A7971" w:rsidRPr="00BF1E88" w:rsidRDefault="006A7971" w:rsidP="00415916">
            <w:pPr>
              <w:tabs>
                <w:tab w:val="left" w:pos="6774"/>
              </w:tabs>
              <w:jc w:val="center"/>
              <w:rPr>
                <w:b/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b/>
                <w:color w:val="1F3864" w:themeColor="accent5" w:themeShade="80"/>
                <w:sz w:val="22"/>
                <w:szCs w:val="22"/>
              </w:rPr>
              <w:t>Alignment goals</w:t>
            </w:r>
          </w:p>
        </w:tc>
      </w:tr>
      <w:tr w:rsidR="00BF1E88" w:rsidRPr="00BF1E88" w14:paraId="1E212CDE" w14:textId="77777777" w:rsidTr="00EC1646">
        <w:trPr>
          <w:trHeight w:val="316"/>
        </w:trPr>
        <w:tc>
          <w:tcPr>
            <w:tcW w:w="15575" w:type="dxa"/>
            <w:gridSpan w:val="3"/>
          </w:tcPr>
          <w:p w14:paraId="6569925F" w14:textId="77777777" w:rsidR="006A7971" w:rsidRPr="00DA7F28" w:rsidRDefault="006A7971" w:rsidP="00DA7F28">
            <w:pPr>
              <w:pStyle w:val="Heading1"/>
            </w:pPr>
            <w:r w:rsidRPr="00DA7F28">
              <w:t>Phonics</w:t>
            </w:r>
          </w:p>
        </w:tc>
      </w:tr>
      <w:tr w:rsidR="00BF1E88" w:rsidRPr="00BF1E88" w14:paraId="08906CCD" w14:textId="77777777" w:rsidTr="00304799">
        <w:trPr>
          <w:trHeight w:val="299"/>
        </w:trPr>
        <w:tc>
          <w:tcPr>
            <w:tcW w:w="3823" w:type="dxa"/>
            <w:vAlign w:val="center"/>
          </w:tcPr>
          <w:p w14:paraId="79C2F8C4" w14:textId="77777777" w:rsidR="006A7971" w:rsidRPr="00BF1E88" w:rsidRDefault="006A7971" w:rsidP="00D3732E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Which SSC are taught, and when?</w:t>
            </w:r>
          </w:p>
        </w:tc>
        <w:tc>
          <w:tcPr>
            <w:tcW w:w="6831" w:type="dxa"/>
          </w:tcPr>
          <w:p w14:paraId="47CE7947" w14:textId="77777777" w:rsidR="006A7971" w:rsidRPr="00BF1E88" w:rsidRDefault="006A7971" w:rsidP="005E26EC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SSC are explicitly identified.</w:t>
            </w:r>
          </w:p>
        </w:tc>
        <w:tc>
          <w:tcPr>
            <w:tcW w:w="4921" w:type="dxa"/>
            <w:vMerge w:val="restart"/>
          </w:tcPr>
          <w:p w14:paraId="570F7F38" w14:textId="5EE40D61" w:rsidR="006A7971" w:rsidRPr="00BF1E88" w:rsidRDefault="006A7971" w:rsidP="005E26EC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 xml:space="preserve">90% </w:t>
            </w:r>
            <w:r w:rsidR="00D94224">
              <w:rPr>
                <w:color w:val="1F3864" w:themeColor="accent5" w:themeShade="80"/>
                <w:sz w:val="22"/>
                <w:szCs w:val="22"/>
              </w:rPr>
              <w:t xml:space="preserve">NCELP 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t>SSC are taught and systematically revisited in Y7, and often revisited in Y8 and Y9.</w:t>
            </w:r>
          </w:p>
        </w:tc>
      </w:tr>
      <w:tr w:rsidR="00BF1E88" w:rsidRPr="00BF1E88" w14:paraId="5E0FF543" w14:textId="77777777" w:rsidTr="00304799">
        <w:trPr>
          <w:trHeight w:val="299"/>
        </w:trPr>
        <w:tc>
          <w:tcPr>
            <w:tcW w:w="3823" w:type="dxa"/>
            <w:vAlign w:val="center"/>
          </w:tcPr>
          <w:p w14:paraId="27AAA5B4" w14:textId="77777777" w:rsidR="006A7971" w:rsidRPr="00BF1E88" w:rsidRDefault="006A7971" w:rsidP="00D3732E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Why are those taught?</w:t>
            </w:r>
          </w:p>
        </w:tc>
        <w:tc>
          <w:tcPr>
            <w:tcW w:w="6831" w:type="dxa"/>
          </w:tcPr>
          <w:p w14:paraId="58A3AAD4" w14:textId="77777777" w:rsidR="006A7971" w:rsidRPr="00BF1E88" w:rsidRDefault="006A7971" w:rsidP="00FA616B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SSC are sequenced logically using a ‘bang for buck’ principle based on frequency of occurrence and difficulty for learners.</w:t>
            </w:r>
          </w:p>
        </w:tc>
        <w:tc>
          <w:tcPr>
            <w:tcW w:w="4921" w:type="dxa"/>
            <w:vMerge/>
          </w:tcPr>
          <w:p w14:paraId="19DD68F3" w14:textId="77777777" w:rsidR="006A7971" w:rsidRPr="00BF1E88" w:rsidRDefault="006A7971" w:rsidP="00FA616B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BF1E88" w:rsidRPr="00BF1E88" w14:paraId="5D6DADA5" w14:textId="77777777" w:rsidTr="00304799">
        <w:trPr>
          <w:trHeight w:val="299"/>
        </w:trPr>
        <w:tc>
          <w:tcPr>
            <w:tcW w:w="3823" w:type="dxa"/>
            <w:vAlign w:val="center"/>
          </w:tcPr>
          <w:p w14:paraId="2540F404" w14:textId="77777777" w:rsidR="006A7971" w:rsidRPr="00BF1E88" w:rsidRDefault="006A7971" w:rsidP="00D3732E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How are they taught?</w:t>
            </w:r>
          </w:p>
        </w:tc>
        <w:tc>
          <w:tcPr>
            <w:tcW w:w="6831" w:type="dxa"/>
          </w:tcPr>
          <w:p w14:paraId="47DE0DC7" w14:textId="77777777" w:rsidR="006A7971" w:rsidRPr="00BF1E88" w:rsidRDefault="006A7971" w:rsidP="00971136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SSC are taught explicitly in Y7, for example, using identified key ‘source’ words and practised using further ‘cluster’ words, using a variety of activities, including read aloud and transcription.</w:t>
            </w:r>
          </w:p>
        </w:tc>
        <w:tc>
          <w:tcPr>
            <w:tcW w:w="4921" w:type="dxa"/>
            <w:vMerge/>
          </w:tcPr>
          <w:p w14:paraId="2CC35A58" w14:textId="77777777" w:rsidR="006A7971" w:rsidRPr="00BF1E88" w:rsidRDefault="006A7971" w:rsidP="00971136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BF1E88" w:rsidRPr="00BF1E88" w14:paraId="721BEB07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53AB7E50" w14:textId="77777777" w:rsidR="006A7971" w:rsidRPr="00BF1E88" w:rsidRDefault="006A7971" w:rsidP="00D3732E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Are they revisited? When? How?</w:t>
            </w:r>
          </w:p>
        </w:tc>
        <w:tc>
          <w:tcPr>
            <w:tcW w:w="6831" w:type="dxa"/>
          </w:tcPr>
          <w:p w14:paraId="7519A810" w14:textId="1A137222" w:rsidR="006A7971" w:rsidRPr="00BF1E88" w:rsidRDefault="006A7971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SSC are revisited systematically in Y7, and often in Y8 and Y9, when several SSC are often combined and integrated into vo</w:t>
            </w:r>
            <w:r w:rsidR="00D94224">
              <w:rPr>
                <w:color w:val="1F3864" w:themeColor="accent5" w:themeShade="80"/>
                <w:sz w:val="22"/>
                <w:szCs w:val="22"/>
              </w:rPr>
              <w:t>cabulary and grammar activities, with a focus on when they affect meaning.</w:t>
            </w:r>
          </w:p>
        </w:tc>
        <w:tc>
          <w:tcPr>
            <w:tcW w:w="4921" w:type="dxa"/>
            <w:vMerge/>
          </w:tcPr>
          <w:p w14:paraId="74516851" w14:textId="77777777" w:rsidR="006A7971" w:rsidRPr="00BF1E88" w:rsidRDefault="006A7971" w:rsidP="00FA616B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BF1E88" w:rsidRPr="00BF1E88" w14:paraId="0AA4FC1C" w14:textId="77777777" w:rsidTr="00335568">
        <w:trPr>
          <w:trHeight w:val="282"/>
        </w:trPr>
        <w:tc>
          <w:tcPr>
            <w:tcW w:w="15575" w:type="dxa"/>
            <w:gridSpan w:val="3"/>
            <w:vAlign w:val="center"/>
          </w:tcPr>
          <w:p w14:paraId="34145245" w14:textId="77777777" w:rsidR="006A7971" w:rsidRPr="00BF1E88" w:rsidRDefault="006A7971" w:rsidP="00DA7F28">
            <w:pPr>
              <w:pStyle w:val="Heading1"/>
            </w:pPr>
            <w:r w:rsidRPr="00BF1E88">
              <w:t>Vocabulary</w:t>
            </w:r>
          </w:p>
        </w:tc>
      </w:tr>
      <w:tr w:rsidR="00BF1E88" w:rsidRPr="00BF1E88" w14:paraId="2D08D3E1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766865E2" w14:textId="77777777" w:rsidR="006A7971" w:rsidRPr="00BF1E88" w:rsidRDefault="006A7971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Are the vocabulary sets to be taught explicitly listed?</w:t>
            </w:r>
          </w:p>
        </w:tc>
        <w:tc>
          <w:tcPr>
            <w:tcW w:w="6831" w:type="dxa"/>
          </w:tcPr>
          <w:p w14:paraId="1E197348" w14:textId="77777777" w:rsidR="006A7971" w:rsidRPr="00BF1E88" w:rsidRDefault="006A7971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Vocabulary sets for each week are listed on the SOW.</w:t>
            </w:r>
            <w:r w:rsidR="00304799" w:rsidRPr="00BF1E88">
              <w:rPr>
                <w:color w:val="1F3864" w:themeColor="accent5" w:themeShade="80"/>
                <w:sz w:val="22"/>
                <w:szCs w:val="22"/>
              </w:rPr>
              <w:br/>
              <w:t>Overall vocabulary load is known.</w:t>
            </w:r>
          </w:p>
        </w:tc>
        <w:tc>
          <w:tcPr>
            <w:tcW w:w="4921" w:type="dxa"/>
          </w:tcPr>
          <w:p w14:paraId="51686573" w14:textId="6D6B75D4" w:rsidR="006A7971" w:rsidRPr="00BF1E88" w:rsidRDefault="00304799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The total number of words taught each year does not exceed 360 (36 teaching weeks x 10 words weekly average) by more than 10%</w:t>
            </w:r>
            <w:r w:rsidR="00D94224">
              <w:rPr>
                <w:color w:val="1F3864" w:themeColor="accent5" w:themeShade="80"/>
                <w:sz w:val="22"/>
                <w:szCs w:val="22"/>
              </w:rPr>
              <w:t xml:space="preserve"> either way, i.e. 396 or 324.</w:t>
            </w:r>
          </w:p>
        </w:tc>
      </w:tr>
      <w:tr w:rsidR="00BF1E88" w:rsidRPr="00BF1E88" w14:paraId="745CF000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46B5362E" w14:textId="77777777" w:rsidR="006A7971" w:rsidRPr="00BF1E88" w:rsidRDefault="006A7971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Are the vocabulary items highly frequent?  How is their frequency known?</w:t>
            </w:r>
          </w:p>
        </w:tc>
        <w:tc>
          <w:tcPr>
            <w:tcW w:w="6831" w:type="dxa"/>
          </w:tcPr>
          <w:p w14:paraId="30EC5B94" w14:textId="77777777" w:rsidR="006A7971" w:rsidRPr="00BF1E88" w:rsidRDefault="00FB2EB5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The frequency of vocabulary is checked.</w:t>
            </w:r>
          </w:p>
        </w:tc>
        <w:tc>
          <w:tcPr>
            <w:tcW w:w="4921" w:type="dxa"/>
          </w:tcPr>
          <w:p w14:paraId="76820093" w14:textId="77777777" w:rsidR="006A7971" w:rsidRPr="00BF1E88" w:rsidRDefault="006A7971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At least 85% vocabulary is drawn from the 2000 most frequently-used words.</w:t>
            </w:r>
          </w:p>
        </w:tc>
      </w:tr>
      <w:tr w:rsidR="00BF1E88" w:rsidRPr="00BF1E88" w14:paraId="1D9449E6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2C701FB8" w14:textId="77777777" w:rsidR="006A7971" w:rsidRPr="00BF1E88" w:rsidRDefault="006A7971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Do the vocabulary sets comprise words from different word classes?</w:t>
            </w:r>
          </w:p>
        </w:tc>
        <w:tc>
          <w:tcPr>
            <w:tcW w:w="6831" w:type="dxa"/>
          </w:tcPr>
          <w:p w14:paraId="647DA916" w14:textId="77777777" w:rsidR="006A7971" w:rsidRPr="00BF1E88" w:rsidRDefault="00FB2EB5" w:rsidP="00FB2EB5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 xml:space="preserve">Vocabulary sets are checked for composition and, where needed, created with words from different word classes. </w:t>
            </w:r>
          </w:p>
        </w:tc>
        <w:tc>
          <w:tcPr>
            <w:tcW w:w="4921" w:type="dxa"/>
          </w:tcPr>
          <w:p w14:paraId="43CCA9A0" w14:textId="77777777" w:rsidR="006A7971" w:rsidRPr="00BF1E88" w:rsidRDefault="00FB2EB5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All vocabulary sets contain a balance of words from at least two (but preferably more) word classes.</w:t>
            </w:r>
          </w:p>
        </w:tc>
      </w:tr>
      <w:tr w:rsidR="00BF1E88" w:rsidRPr="00BF1E88" w14:paraId="05A052BF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5CE3D02C" w14:textId="77777777" w:rsidR="006A7971" w:rsidRPr="00BF1E88" w:rsidRDefault="006A7971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Are the vocabulary items to be taught planned to be revisited regularly? How regularly?</w:t>
            </w:r>
          </w:p>
        </w:tc>
        <w:tc>
          <w:tcPr>
            <w:tcW w:w="6831" w:type="dxa"/>
          </w:tcPr>
          <w:p w14:paraId="2AB61D19" w14:textId="77777777" w:rsidR="006A7971" w:rsidRPr="00BF1E88" w:rsidRDefault="00FB2EB5" w:rsidP="00FB2EB5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The timing of the systematic revisiting of vocabulary sets is added to SOW.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br/>
              <w:t>Students are given ready access to current, previous (and, where possible, future) vocabulary sets to support their learning, preferably via an online learning tool (e.g., Quizlet or similar).</w:t>
            </w:r>
          </w:p>
        </w:tc>
        <w:tc>
          <w:tcPr>
            <w:tcW w:w="4921" w:type="dxa"/>
          </w:tcPr>
          <w:p w14:paraId="27871E40" w14:textId="77777777" w:rsidR="006A7971" w:rsidRPr="00BF1E88" w:rsidRDefault="006A7971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All vocabulary taught is revisited at least three times within the year.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br/>
              <w:t xml:space="preserve">There are regular (minimum fortnightly) vocabulary learning </w:t>
            </w:r>
            <w:proofErr w:type="spellStart"/>
            <w:r w:rsidRPr="00BF1E88">
              <w:rPr>
                <w:color w:val="1F3864" w:themeColor="accent5" w:themeShade="80"/>
                <w:sz w:val="22"/>
                <w:szCs w:val="22"/>
              </w:rPr>
              <w:t>homeworks</w:t>
            </w:r>
            <w:proofErr w:type="spellEnd"/>
            <w:r w:rsidRPr="00BF1E88">
              <w:rPr>
                <w:color w:val="1F3864" w:themeColor="accent5" w:themeShade="80"/>
                <w:sz w:val="22"/>
                <w:szCs w:val="22"/>
              </w:rPr>
              <w:t>.</w:t>
            </w:r>
          </w:p>
        </w:tc>
      </w:tr>
      <w:tr w:rsidR="00BF1E88" w:rsidRPr="00BF1E88" w14:paraId="5137BDF2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72932687" w14:textId="77777777" w:rsidR="006A7971" w:rsidRPr="00BF1E88" w:rsidRDefault="006A7971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Are the high frequency verbs taught and regularly revisited? When?</w:t>
            </w:r>
          </w:p>
        </w:tc>
        <w:tc>
          <w:tcPr>
            <w:tcW w:w="6831" w:type="dxa"/>
          </w:tcPr>
          <w:p w14:paraId="1239EB47" w14:textId="77777777" w:rsidR="006A7971" w:rsidRPr="00BF1E88" w:rsidRDefault="00FB2EB5" w:rsidP="006A797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The verbs to be taught are identified and their frequency checked.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br/>
              <w:t xml:space="preserve">Overall the number of verbs is counted and the proportion of 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lastRenderedPageBreak/>
              <w:t>verbs in the overall year’s lexicon is known.</w:t>
            </w:r>
          </w:p>
        </w:tc>
        <w:tc>
          <w:tcPr>
            <w:tcW w:w="4921" w:type="dxa"/>
          </w:tcPr>
          <w:p w14:paraId="5303BB5D" w14:textId="47E86B88" w:rsidR="006A7971" w:rsidRPr="00BF1E88" w:rsidRDefault="00CB1DEA" w:rsidP="007B6F31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>
              <w:rPr>
                <w:color w:val="1F3864" w:themeColor="accent5" w:themeShade="80"/>
                <w:sz w:val="22"/>
                <w:szCs w:val="22"/>
              </w:rPr>
              <w:lastRenderedPageBreak/>
              <w:t>Between 20-</w:t>
            </w:r>
            <w:r w:rsidR="006A7971" w:rsidRPr="00BF1E88">
              <w:rPr>
                <w:color w:val="1F3864" w:themeColor="accent5" w:themeShade="80"/>
                <w:sz w:val="22"/>
                <w:szCs w:val="22"/>
              </w:rPr>
              <w:t xml:space="preserve">25% </w:t>
            </w:r>
            <w:r w:rsidR="00E12514">
              <w:rPr>
                <w:color w:val="1F3864" w:themeColor="accent5" w:themeShade="80"/>
                <w:sz w:val="22"/>
                <w:szCs w:val="22"/>
              </w:rPr>
              <w:t xml:space="preserve">of the </w:t>
            </w:r>
            <w:r w:rsidR="006A7971" w:rsidRPr="00BF1E88">
              <w:rPr>
                <w:color w:val="1F3864" w:themeColor="accent5" w:themeShade="80"/>
                <w:sz w:val="22"/>
                <w:szCs w:val="22"/>
              </w:rPr>
              <w:t>vocabulary is verbs.</w:t>
            </w:r>
            <w:r w:rsidR="007B6F31" w:rsidRPr="00BF1E88">
              <w:rPr>
                <w:color w:val="1F3864" w:themeColor="accent5" w:themeShade="80"/>
                <w:sz w:val="22"/>
                <w:szCs w:val="22"/>
              </w:rPr>
              <w:br/>
              <w:t xml:space="preserve">These include a set of high-frequency regular verbs and the main high-frequency </w:t>
            </w:r>
            <w:r w:rsidR="007B6F31" w:rsidRPr="00BF1E88">
              <w:rPr>
                <w:color w:val="1F3864" w:themeColor="accent5" w:themeShade="80"/>
                <w:sz w:val="22"/>
                <w:szCs w:val="22"/>
              </w:rPr>
              <w:lastRenderedPageBreak/>
              <w:t>verbs:</w:t>
            </w:r>
            <w:r w:rsidR="007B6F31" w:rsidRPr="00BF1E88">
              <w:rPr>
                <w:color w:val="1F3864" w:themeColor="accent5" w:themeShade="80"/>
                <w:sz w:val="22"/>
                <w:szCs w:val="22"/>
              </w:rPr>
              <w:br/>
              <w:t xml:space="preserve">French: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être</w:t>
            </w:r>
            <w:proofErr w:type="spellEnd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 xml:space="preserve">,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avoir</w:t>
            </w:r>
            <w:proofErr w:type="spellEnd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 xml:space="preserve">, faire,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aller</w:t>
            </w:r>
            <w:proofErr w:type="spellEnd"/>
            <w:r w:rsidR="007B6F31" w:rsidRPr="00BF1E88">
              <w:rPr>
                <w:color w:val="1F3864" w:themeColor="accent5" w:themeShade="80"/>
                <w:sz w:val="22"/>
                <w:szCs w:val="22"/>
              </w:rPr>
              <w:br/>
              <w:t xml:space="preserve">German: sein,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haben</w:t>
            </w:r>
            <w:proofErr w:type="spellEnd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 xml:space="preserve">,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machen</w:t>
            </w:r>
            <w:proofErr w:type="spellEnd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 xml:space="preserve">,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gehen</w:t>
            </w:r>
            <w:proofErr w:type="spellEnd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 xml:space="preserve">,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fahren</w:t>
            </w:r>
            <w:proofErr w:type="spellEnd"/>
            <w:r w:rsidR="007B6F31" w:rsidRPr="00BF1E88">
              <w:rPr>
                <w:color w:val="1F3864" w:themeColor="accent5" w:themeShade="80"/>
                <w:sz w:val="22"/>
                <w:szCs w:val="22"/>
              </w:rPr>
              <w:br/>
              <w:t xml:space="preserve">Spanish: ser,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estar</w:t>
            </w:r>
            <w:proofErr w:type="spellEnd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 xml:space="preserve">,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tener</w:t>
            </w:r>
            <w:proofErr w:type="spellEnd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 xml:space="preserve">,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hacer</w:t>
            </w:r>
            <w:proofErr w:type="spellEnd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 xml:space="preserve">, </w:t>
            </w:r>
            <w:proofErr w:type="spellStart"/>
            <w:r w:rsidR="007B6F31" w:rsidRPr="00BF1E88">
              <w:rPr>
                <w:color w:val="1F3864" w:themeColor="accent5" w:themeShade="80"/>
                <w:sz w:val="22"/>
                <w:szCs w:val="22"/>
              </w:rPr>
              <w:t>ir</w:t>
            </w:r>
            <w:proofErr w:type="spellEnd"/>
          </w:p>
        </w:tc>
      </w:tr>
      <w:tr w:rsidR="00BF1E88" w:rsidRPr="00BF1E88" w14:paraId="32CA00BD" w14:textId="77777777" w:rsidTr="004328D2">
        <w:trPr>
          <w:trHeight w:val="282"/>
        </w:trPr>
        <w:tc>
          <w:tcPr>
            <w:tcW w:w="15575" w:type="dxa"/>
            <w:gridSpan w:val="3"/>
            <w:vAlign w:val="center"/>
          </w:tcPr>
          <w:p w14:paraId="627EBA9D" w14:textId="77777777" w:rsidR="007B6F31" w:rsidRPr="00BF1E88" w:rsidRDefault="007B6F31" w:rsidP="00DA7F28">
            <w:pPr>
              <w:pStyle w:val="Heading1"/>
              <w:rPr>
                <w:b w:val="0"/>
              </w:rPr>
            </w:pPr>
            <w:r w:rsidRPr="00BF1E88">
              <w:lastRenderedPageBreak/>
              <w:t>Grammar</w:t>
            </w:r>
          </w:p>
        </w:tc>
      </w:tr>
      <w:tr w:rsidR="00BF1E88" w:rsidRPr="00BF1E88" w14:paraId="6E275AD6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0A8B1520" w14:textId="77777777" w:rsidR="00304799" w:rsidRPr="00BF1E88" w:rsidRDefault="00304799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Which grammar features are taught? How?</w:t>
            </w:r>
          </w:p>
        </w:tc>
        <w:tc>
          <w:tcPr>
            <w:tcW w:w="6831" w:type="dxa"/>
          </w:tcPr>
          <w:p w14:paraId="14B62486" w14:textId="50BDDB52" w:rsidR="00304799" w:rsidRPr="00BF1E88" w:rsidRDefault="00D55BE3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The grammar features to be taught are clearly identified on the SOW.</w:t>
            </w:r>
          </w:p>
        </w:tc>
        <w:tc>
          <w:tcPr>
            <w:tcW w:w="4921" w:type="dxa"/>
          </w:tcPr>
          <w:p w14:paraId="2AA3EF7D" w14:textId="77777777" w:rsidR="00304799" w:rsidRPr="00BF1E88" w:rsidRDefault="00304799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85% grammar taught overlaps with NCELP, and n</w:t>
            </w:r>
            <w:r w:rsidR="00627C63" w:rsidRPr="00BF1E88">
              <w:rPr>
                <w:color w:val="1F3864" w:themeColor="accent5" w:themeShade="80"/>
                <w:sz w:val="22"/>
                <w:szCs w:val="22"/>
              </w:rPr>
              <w:t>o more than 20% more than NCELP is taught.</w:t>
            </w:r>
          </w:p>
        </w:tc>
      </w:tr>
      <w:tr w:rsidR="00BF1E88" w:rsidRPr="00BF1E88" w14:paraId="5D44DDA8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76D4A811" w14:textId="77777777" w:rsidR="00304799" w:rsidRPr="00BF1E88" w:rsidRDefault="00304799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When are they taught and why then – what is the rationale for the sequence you have chosen?</w:t>
            </w:r>
          </w:p>
        </w:tc>
        <w:tc>
          <w:tcPr>
            <w:tcW w:w="6831" w:type="dxa"/>
          </w:tcPr>
          <w:p w14:paraId="57409CC5" w14:textId="48999410" w:rsidR="00304799" w:rsidRPr="00BF1E88" w:rsidRDefault="00A946D0" w:rsidP="00212B26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Grammar f</w:t>
            </w:r>
            <w:r w:rsidR="00D55BE3" w:rsidRPr="00BF1E88">
              <w:rPr>
                <w:color w:val="1F3864" w:themeColor="accent5" w:themeShade="80"/>
                <w:sz w:val="22"/>
                <w:szCs w:val="22"/>
              </w:rPr>
              <w:t xml:space="preserve">eatures are consciously selected for teaching, based on their </w:t>
            </w:r>
            <w:r w:rsidR="00212B26">
              <w:rPr>
                <w:color w:val="1F3864" w:themeColor="accent5" w:themeShade="80"/>
                <w:sz w:val="22"/>
                <w:szCs w:val="22"/>
              </w:rPr>
              <w:t>likely usefulness</w:t>
            </w:r>
            <w:r w:rsidR="00D55BE3" w:rsidRPr="00BF1E88">
              <w:rPr>
                <w:color w:val="1F3864" w:themeColor="accent5" w:themeShade="80"/>
                <w:sz w:val="22"/>
                <w:szCs w:val="22"/>
              </w:rPr>
              <w:t xml:space="preserve"> in 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t>basic</w:t>
            </w:r>
            <w:r w:rsidR="00D55BE3" w:rsidRPr="00BF1E88">
              <w:rPr>
                <w:color w:val="1F3864" w:themeColor="accent5" w:themeShade="80"/>
                <w:sz w:val="22"/>
                <w:szCs w:val="22"/>
              </w:rPr>
              <w:t xml:space="preserve"> sentence construction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t>,</w:t>
            </w:r>
            <w:r w:rsidR="00212B26">
              <w:rPr>
                <w:color w:val="1F3864" w:themeColor="accent5" w:themeShade="80"/>
                <w:sz w:val="22"/>
                <w:szCs w:val="22"/>
              </w:rPr>
              <w:t xml:space="preserve"> and informed by considerations of difficulty,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t xml:space="preserve"> sequenced and taught to avoid potential confusion and overload.</w:t>
            </w:r>
          </w:p>
        </w:tc>
        <w:tc>
          <w:tcPr>
            <w:tcW w:w="4921" w:type="dxa"/>
          </w:tcPr>
          <w:p w14:paraId="64CB1080" w14:textId="77777777" w:rsidR="00304799" w:rsidRPr="00BF1E88" w:rsidRDefault="00304799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</w:p>
        </w:tc>
      </w:tr>
      <w:tr w:rsidR="00BF1E88" w:rsidRPr="00BF1E88" w14:paraId="2D8FA9ED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35F86A19" w14:textId="77777777" w:rsidR="00304799" w:rsidRPr="00BF1E88" w:rsidRDefault="00304799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How often is grammar re-visited and when?</w:t>
            </w:r>
          </w:p>
        </w:tc>
        <w:tc>
          <w:tcPr>
            <w:tcW w:w="6831" w:type="dxa"/>
          </w:tcPr>
          <w:p w14:paraId="160B026C" w14:textId="4B8BDA02" w:rsidR="00304799" w:rsidRPr="00BF1E88" w:rsidRDefault="00A946D0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The revisiting of each grammar feature is clearly identified on the SOW.</w:t>
            </w:r>
          </w:p>
        </w:tc>
        <w:tc>
          <w:tcPr>
            <w:tcW w:w="4921" w:type="dxa"/>
          </w:tcPr>
          <w:p w14:paraId="3F68ABB2" w14:textId="05D52C1A" w:rsidR="00304799" w:rsidRPr="00BF1E88" w:rsidRDefault="00304799" w:rsidP="001B0777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 xml:space="preserve">Each grammar subcomponent </w:t>
            </w:r>
            <w:r w:rsidR="001B0777">
              <w:rPr>
                <w:color w:val="1F3864" w:themeColor="accent5" w:themeShade="80"/>
                <w:sz w:val="22"/>
                <w:szCs w:val="22"/>
              </w:rPr>
              <w:t xml:space="preserve">(e.g., </w:t>
            </w:r>
            <w:r w:rsidR="001B0777" w:rsidRPr="001B0777">
              <w:rPr>
                <w:color w:val="1F3864" w:themeColor="accent5" w:themeShade="80"/>
                <w:sz w:val="22"/>
                <w:szCs w:val="22"/>
              </w:rPr>
              <w:t xml:space="preserve">e.g. a pair of features such as 1st and 3rd singular present), 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t xml:space="preserve">is revisited at least twice during the year. </w:t>
            </w:r>
            <w:r w:rsidR="001B0777">
              <w:rPr>
                <w:color w:val="1F3864" w:themeColor="accent5" w:themeShade="80"/>
                <w:sz w:val="22"/>
                <w:szCs w:val="22"/>
              </w:rPr>
              <w:br/>
            </w:r>
          </w:p>
        </w:tc>
      </w:tr>
      <w:tr w:rsidR="00BF1E88" w:rsidRPr="00BF1E88" w14:paraId="2DE2F6C9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7B76AFE7" w14:textId="77777777" w:rsidR="00304799" w:rsidRPr="00BF1E88" w:rsidRDefault="00304799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Is there plenty of opportunity to practise grammar in the input (listening and reading) and in meaningful production activities?</w:t>
            </w:r>
          </w:p>
        </w:tc>
        <w:tc>
          <w:tcPr>
            <w:tcW w:w="6831" w:type="dxa"/>
          </w:tcPr>
          <w:p w14:paraId="134723B6" w14:textId="01D1B01F" w:rsidR="00304799" w:rsidRPr="00BF1E88" w:rsidRDefault="00A946D0" w:rsidP="00A946D0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 xml:space="preserve">Listening and reading, and subsequent speaking and writing activities specifically trap the grammar features and compel learners to process </w:t>
            </w:r>
            <w:r w:rsidR="00212B26">
              <w:rPr>
                <w:color w:val="1F3864" w:themeColor="accent5" w:themeShade="80"/>
                <w:sz w:val="22"/>
                <w:szCs w:val="22"/>
              </w:rPr>
              <w:t xml:space="preserve">and to produce 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t xml:space="preserve">them.  </w:t>
            </w:r>
          </w:p>
        </w:tc>
        <w:tc>
          <w:tcPr>
            <w:tcW w:w="4921" w:type="dxa"/>
          </w:tcPr>
          <w:p w14:paraId="2B31BB16" w14:textId="3CF123D1" w:rsidR="00304799" w:rsidRPr="00BF1E88" w:rsidRDefault="00BF1E88" w:rsidP="00212B26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>
              <w:rPr>
                <w:color w:val="1F3864" w:themeColor="accent5" w:themeShade="80"/>
                <w:sz w:val="22"/>
                <w:szCs w:val="22"/>
              </w:rPr>
              <w:t xml:space="preserve">For each grammar feature taught there are </w:t>
            </w:r>
            <w:r w:rsidR="00212B26" w:rsidRPr="00212B26">
              <w:rPr>
                <w:b/>
                <w:color w:val="1F3864" w:themeColor="accent5" w:themeShade="80"/>
                <w:sz w:val="22"/>
                <w:szCs w:val="22"/>
              </w:rPr>
              <w:t>grammar-focused</w:t>
            </w:r>
            <w:r w:rsidR="00212B26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  <w:r>
              <w:rPr>
                <w:color w:val="1F3864" w:themeColor="accent5" w:themeShade="80"/>
                <w:sz w:val="22"/>
                <w:szCs w:val="22"/>
              </w:rPr>
              <w:t>listening and reading activities, as well as speaking and writing tasks</w:t>
            </w:r>
            <w:r w:rsidR="00212B26">
              <w:rPr>
                <w:color w:val="1F3864" w:themeColor="accent5" w:themeShade="80"/>
                <w:sz w:val="22"/>
                <w:szCs w:val="22"/>
              </w:rPr>
              <w:t>.</w:t>
            </w:r>
          </w:p>
        </w:tc>
      </w:tr>
      <w:tr w:rsidR="00BF1E88" w:rsidRPr="00BF1E88" w14:paraId="7B204AF4" w14:textId="77777777" w:rsidTr="001F0397">
        <w:trPr>
          <w:trHeight w:val="282"/>
        </w:trPr>
        <w:tc>
          <w:tcPr>
            <w:tcW w:w="15575" w:type="dxa"/>
            <w:gridSpan w:val="3"/>
            <w:vAlign w:val="center"/>
          </w:tcPr>
          <w:p w14:paraId="772254E8" w14:textId="77777777" w:rsidR="00304799" w:rsidRPr="00BF1E88" w:rsidRDefault="00304799" w:rsidP="00DA7F28">
            <w:pPr>
              <w:pStyle w:val="Heading1"/>
            </w:pPr>
            <w:r w:rsidRPr="00BF1E88">
              <w:t xml:space="preserve">Robust and reliable knowledge? </w:t>
            </w:r>
            <w:r w:rsidRPr="00DA7F28">
              <w:rPr>
                <w:b w:val="0"/>
                <w:bCs/>
              </w:rPr>
              <w:t>(Impact)</w:t>
            </w:r>
          </w:p>
        </w:tc>
      </w:tr>
      <w:tr w:rsidR="00BF1E88" w:rsidRPr="00BF1E88" w14:paraId="595B8D00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20E86A74" w14:textId="77777777" w:rsidR="00304799" w:rsidRPr="00BF1E88" w:rsidRDefault="00304799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How do you know that your students have reliable knowledge of the phonics, vocabulary and grammar that have been taught and practised?</w:t>
            </w:r>
          </w:p>
        </w:tc>
        <w:tc>
          <w:tcPr>
            <w:tcW w:w="6831" w:type="dxa"/>
          </w:tcPr>
          <w:p w14:paraId="0F48A8B4" w14:textId="288E677E" w:rsidR="00304799" w:rsidRPr="00BF1E88" w:rsidRDefault="00BF1E88" w:rsidP="00BF1E88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Continuous assessment of learning is integrated into teaching each week (every time learners are required to retrieve language without reference to their resources).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br/>
            </w:r>
            <w:r w:rsidRPr="00BF1E88">
              <w:rPr>
                <w:rFonts w:eastAsia="Times New Roman" w:cs="Segoe UI"/>
                <w:color w:val="1F3864" w:themeColor="accent5" w:themeShade="80"/>
                <w:sz w:val="22"/>
                <w:szCs w:val="22"/>
              </w:rPr>
              <w:t>Achievement assessments in phonics, vocabulary and grammar test the exact knowledge taught.</w:t>
            </w:r>
          </w:p>
        </w:tc>
        <w:tc>
          <w:tcPr>
            <w:tcW w:w="4921" w:type="dxa"/>
          </w:tcPr>
          <w:p w14:paraId="717CBC95" w14:textId="09F7DBF3" w:rsidR="00304799" w:rsidRPr="00BF1E88" w:rsidRDefault="00BF1E88" w:rsidP="00BF1E88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 xml:space="preserve">There are PVG achievement tests in addition to any </w:t>
            </w:r>
            <w:r w:rsidR="00212B26">
              <w:rPr>
                <w:color w:val="1F3864" w:themeColor="accent5" w:themeShade="80"/>
                <w:sz w:val="22"/>
                <w:szCs w:val="22"/>
              </w:rPr>
              <w:t xml:space="preserve">more holistic 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t>proficiency tests.</w:t>
            </w:r>
            <w:r w:rsidRPr="00BF1E88">
              <w:rPr>
                <w:color w:val="1F3864" w:themeColor="accent5" w:themeShade="80"/>
                <w:sz w:val="22"/>
                <w:szCs w:val="22"/>
              </w:rPr>
              <w:br/>
            </w:r>
            <w:r w:rsidRPr="00BF1E88">
              <w:rPr>
                <w:color w:val="1F3864" w:themeColor="accent5" w:themeShade="80"/>
                <w:sz w:val="22"/>
                <w:szCs w:val="22"/>
              </w:rPr>
              <w:br/>
            </w:r>
          </w:p>
        </w:tc>
      </w:tr>
      <w:tr w:rsidR="00BF1E88" w:rsidRPr="00BF1E88" w14:paraId="1DB05BAE" w14:textId="77777777" w:rsidTr="00304799">
        <w:trPr>
          <w:trHeight w:val="282"/>
        </w:trPr>
        <w:tc>
          <w:tcPr>
            <w:tcW w:w="3823" w:type="dxa"/>
            <w:vAlign w:val="center"/>
          </w:tcPr>
          <w:p w14:paraId="283D0FFE" w14:textId="77777777" w:rsidR="00304799" w:rsidRPr="00BF1E88" w:rsidRDefault="00304799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Do you know whether this knowledge is available for</w:t>
            </w:r>
          </w:p>
          <w:p w14:paraId="499B58B1" w14:textId="77777777" w:rsidR="00304799" w:rsidRPr="00BF1E88" w:rsidRDefault="00304799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 xml:space="preserve"> - both comprehension and production?</w:t>
            </w:r>
          </w:p>
          <w:p w14:paraId="67A65AD6" w14:textId="77777777" w:rsidR="00304799" w:rsidRPr="00BF1E88" w:rsidRDefault="00304799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 xml:space="preserve"> - in both the oral and written modalities?</w:t>
            </w:r>
          </w:p>
        </w:tc>
        <w:tc>
          <w:tcPr>
            <w:tcW w:w="6831" w:type="dxa"/>
          </w:tcPr>
          <w:p w14:paraId="73F7AA17" w14:textId="73E1BD1F" w:rsidR="00304799" w:rsidRPr="00BF1E88" w:rsidRDefault="00BF1E88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>
              <w:rPr>
                <w:color w:val="1F3864" w:themeColor="accent5" w:themeShade="80"/>
                <w:sz w:val="22"/>
                <w:szCs w:val="22"/>
              </w:rPr>
              <w:t>PVG assessments are completed in all modes and modalities (listening, speaking, reading and writing).</w:t>
            </w:r>
          </w:p>
        </w:tc>
        <w:tc>
          <w:tcPr>
            <w:tcW w:w="4921" w:type="dxa"/>
          </w:tcPr>
          <w:p w14:paraId="7F453933" w14:textId="62CA0AFD" w:rsidR="00304799" w:rsidRPr="00BF1E88" w:rsidRDefault="00BF1E88" w:rsidP="00304799">
            <w:pPr>
              <w:tabs>
                <w:tab w:val="left" w:pos="6774"/>
              </w:tabs>
              <w:rPr>
                <w:color w:val="1F3864" w:themeColor="accent5" w:themeShade="80"/>
                <w:sz w:val="22"/>
                <w:szCs w:val="22"/>
              </w:rPr>
            </w:pPr>
            <w:r w:rsidRPr="00BF1E88">
              <w:rPr>
                <w:color w:val="1F3864" w:themeColor="accent5" w:themeShade="80"/>
                <w:sz w:val="22"/>
                <w:szCs w:val="22"/>
              </w:rPr>
              <w:t>Assessment opportunities are provided in all modes and modalities.</w:t>
            </w:r>
          </w:p>
        </w:tc>
      </w:tr>
    </w:tbl>
    <w:p w14:paraId="34A1FE10" w14:textId="77777777" w:rsidR="00065657" w:rsidRPr="00BF1E88" w:rsidRDefault="001965E9">
      <w:pPr>
        <w:rPr>
          <w:i/>
          <w:color w:val="1F3864" w:themeColor="accent5" w:themeShade="80"/>
          <w:sz w:val="22"/>
          <w:szCs w:val="22"/>
        </w:rPr>
      </w:pPr>
      <w:r w:rsidRPr="00BF1E88">
        <w:rPr>
          <w:i/>
          <w:color w:val="1F3864" w:themeColor="accent5" w:themeShade="80"/>
          <w:sz w:val="22"/>
          <w:szCs w:val="22"/>
        </w:rPr>
        <w:t xml:space="preserve"> </w:t>
      </w:r>
    </w:p>
    <w:p w14:paraId="1CD78F47" w14:textId="2177C979" w:rsidR="005D74BC" w:rsidRPr="00BF1E88" w:rsidRDefault="005D74BC" w:rsidP="00A946D0">
      <w:pPr>
        <w:rPr>
          <w:color w:val="1F3864" w:themeColor="accent5" w:themeShade="80"/>
          <w:sz w:val="22"/>
          <w:szCs w:val="22"/>
        </w:rPr>
      </w:pPr>
    </w:p>
    <w:sectPr w:rsidR="005D74BC" w:rsidRPr="00BF1E88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5F47" w14:textId="77777777" w:rsidR="00C74447" w:rsidRDefault="00C74447" w:rsidP="00180B91">
      <w:pPr>
        <w:spacing w:after="0" w:line="240" w:lineRule="auto"/>
      </w:pPr>
      <w:r>
        <w:separator/>
      </w:r>
    </w:p>
  </w:endnote>
  <w:endnote w:type="continuationSeparator" w:id="0">
    <w:p w14:paraId="2978A999" w14:textId="77777777" w:rsidR="00C74447" w:rsidRDefault="00C7444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66DF" w14:textId="0196709A" w:rsidR="00282F0B" w:rsidRDefault="00DA7F28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6A7BEC" wp14:editId="08E90E58">
              <wp:simplePos x="0" y="0"/>
              <wp:positionH relativeFrom="column">
                <wp:posOffset>8261985</wp:posOffset>
              </wp:positionH>
              <wp:positionV relativeFrom="paragraph">
                <wp:posOffset>354012</wp:posOffset>
              </wp:positionV>
              <wp:extent cx="1878807" cy="26431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807" cy="2643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8FCBD" w14:textId="0B9A3C2A" w:rsidR="00DA7F28" w:rsidRPr="00DA7F28" w:rsidRDefault="00DA7F28" w:rsidP="00DA7F28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A7F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Date updated: 01/06/2020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A7B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0.55pt;margin-top:27.85pt;width:147.95pt;height: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" filled="f" stroked="f" strokeweight=".5pt">
              <v:textbox>
                <w:txbxContent>
                  <w:p w14:paraId="57F8FCBD" w14:textId="0B9A3C2A" w:rsidR="00DA7F28" w:rsidRPr="00DA7F28" w:rsidRDefault="00DA7F28" w:rsidP="00DA7F28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DA7F28">
                      <w:rPr>
                        <w:color w:val="FFFFFF" w:themeColor="background1"/>
                        <w:sz w:val="20"/>
                        <w:szCs w:val="20"/>
                      </w:rPr>
                      <w:t>Date updated: 01/06/2020</w:t>
                    </w:r>
                  </w:p>
                </w:txbxContent>
              </v:textbox>
            </v:shape>
          </w:pict>
        </mc:Fallback>
      </mc:AlternateContent>
    </w:r>
    <w:r w:rsidR="00EA557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EC95AE" wp14:editId="51E9B1E1">
              <wp:simplePos x="0" y="0"/>
              <wp:positionH relativeFrom="column">
                <wp:posOffset>4227858</wp:posOffset>
              </wp:positionH>
              <wp:positionV relativeFrom="paragraph">
                <wp:posOffset>181665</wp:posOffset>
              </wp:positionV>
              <wp:extent cx="375666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666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7ECF20" w14:textId="77777777" w:rsidR="009A4B6E" w:rsidRPr="00EA557B" w:rsidRDefault="00EA557B" w:rsidP="00EA557B">
                          <w:pPr>
                            <w:jc w:val="right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EA557B">
                            <w:rPr>
                              <w:color w:val="FFFFFF" w:themeColor="background1"/>
                              <w:sz w:val="22"/>
                            </w:rPr>
                            <w:t>Emma Marsden</w:t>
                          </w:r>
                          <w:r w:rsidR="00D3732E">
                            <w:rPr>
                              <w:color w:val="FFFFFF" w:themeColor="background1"/>
                              <w:sz w:val="22"/>
                            </w:rPr>
                            <w:t xml:space="preserve"> / </w:t>
                          </w:r>
                          <w:r w:rsidR="00D3732E" w:rsidRPr="00EA557B">
                            <w:rPr>
                              <w:color w:val="FFFFFF" w:themeColor="background1"/>
                              <w:sz w:val="22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C95AE" id="Text Box 1" o:spid="_x0000_s1027" type="#_x0000_t202" style="position:absolute;margin-left:332.9pt;margin-top:14.3pt;width:295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" filled="f" stroked="f" strokeweight=".5pt">
              <v:textbox>
                <w:txbxContent>
                  <w:p w14:paraId="497ECF20" w14:textId="77777777" w:rsidR="009A4B6E" w:rsidRPr="00EA557B" w:rsidRDefault="00EA557B" w:rsidP="00EA557B">
                    <w:pPr>
                      <w:jc w:val="right"/>
                      <w:rPr>
                        <w:color w:val="FFFFFF" w:themeColor="background1"/>
                        <w:sz w:val="22"/>
                      </w:rPr>
                    </w:pPr>
                    <w:r w:rsidRPr="00EA557B">
                      <w:rPr>
                        <w:color w:val="FFFFFF" w:themeColor="background1"/>
                        <w:sz w:val="22"/>
                      </w:rPr>
                      <w:t>Emma Marsden</w:t>
                    </w:r>
                    <w:r w:rsidR="00D3732E">
                      <w:rPr>
                        <w:color w:val="FFFFFF" w:themeColor="background1"/>
                        <w:sz w:val="22"/>
                      </w:rPr>
                      <w:t xml:space="preserve"> / </w:t>
                    </w:r>
                    <w:r w:rsidR="00D3732E" w:rsidRPr="00EA557B">
                      <w:rPr>
                        <w:color w:val="FFFFFF" w:themeColor="background1"/>
                        <w:sz w:val="22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AE13FE5" wp14:editId="4594D05D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22" name="Picture 22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4AC6" w14:textId="77777777" w:rsidR="00C74447" w:rsidRDefault="00C74447" w:rsidP="00180B91">
      <w:pPr>
        <w:spacing w:after="0" w:line="240" w:lineRule="auto"/>
      </w:pPr>
      <w:r>
        <w:separator/>
      </w:r>
    </w:p>
  </w:footnote>
  <w:footnote w:type="continuationSeparator" w:id="0">
    <w:p w14:paraId="12701C4F" w14:textId="77777777" w:rsidR="00C74447" w:rsidRDefault="00C7444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69DE" w14:textId="2C39646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57B"/>
    <w:rsid w:val="00060AB1"/>
    <w:rsid w:val="00065657"/>
    <w:rsid w:val="00070340"/>
    <w:rsid w:val="0008794E"/>
    <w:rsid w:val="000B40EC"/>
    <w:rsid w:val="000C2E44"/>
    <w:rsid w:val="000D2CDD"/>
    <w:rsid w:val="00102E4B"/>
    <w:rsid w:val="00103948"/>
    <w:rsid w:val="00107E71"/>
    <w:rsid w:val="00136AC9"/>
    <w:rsid w:val="001523DD"/>
    <w:rsid w:val="00171030"/>
    <w:rsid w:val="00172078"/>
    <w:rsid w:val="00175567"/>
    <w:rsid w:val="0017685E"/>
    <w:rsid w:val="00180B91"/>
    <w:rsid w:val="00193F8E"/>
    <w:rsid w:val="001965E9"/>
    <w:rsid w:val="001B0777"/>
    <w:rsid w:val="001B3E9D"/>
    <w:rsid w:val="001B7DCC"/>
    <w:rsid w:val="001E0F27"/>
    <w:rsid w:val="001E3471"/>
    <w:rsid w:val="001E35ED"/>
    <w:rsid w:val="001F0515"/>
    <w:rsid w:val="001F672F"/>
    <w:rsid w:val="00201E74"/>
    <w:rsid w:val="00203D3A"/>
    <w:rsid w:val="00212B26"/>
    <w:rsid w:val="00220670"/>
    <w:rsid w:val="00226A67"/>
    <w:rsid w:val="00282F0B"/>
    <w:rsid w:val="002D4249"/>
    <w:rsid w:val="002F329D"/>
    <w:rsid w:val="00304799"/>
    <w:rsid w:val="00305782"/>
    <w:rsid w:val="00323A9D"/>
    <w:rsid w:val="00326B21"/>
    <w:rsid w:val="0038230E"/>
    <w:rsid w:val="00383FB2"/>
    <w:rsid w:val="003A5837"/>
    <w:rsid w:val="003D0DC3"/>
    <w:rsid w:val="003D7B7F"/>
    <w:rsid w:val="003D7CC0"/>
    <w:rsid w:val="003E7B05"/>
    <w:rsid w:val="003F1AE4"/>
    <w:rsid w:val="00402445"/>
    <w:rsid w:val="004074B2"/>
    <w:rsid w:val="00413B01"/>
    <w:rsid w:val="00415916"/>
    <w:rsid w:val="004226F7"/>
    <w:rsid w:val="00460C70"/>
    <w:rsid w:val="004A3485"/>
    <w:rsid w:val="004A5DAE"/>
    <w:rsid w:val="004C1C09"/>
    <w:rsid w:val="004D7A92"/>
    <w:rsid w:val="004F213D"/>
    <w:rsid w:val="00521B82"/>
    <w:rsid w:val="0053197B"/>
    <w:rsid w:val="00540089"/>
    <w:rsid w:val="00542870"/>
    <w:rsid w:val="00582F1E"/>
    <w:rsid w:val="00591F71"/>
    <w:rsid w:val="005A734D"/>
    <w:rsid w:val="005C1266"/>
    <w:rsid w:val="005C7811"/>
    <w:rsid w:val="005D23F1"/>
    <w:rsid w:val="005D74B8"/>
    <w:rsid w:val="005D74BC"/>
    <w:rsid w:val="005E26EC"/>
    <w:rsid w:val="005F161F"/>
    <w:rsid w:val="005F7D52"/>
    <w:rsid w:val="006071C0"/>
    <w:rsid w:val="00625477"/>
    <w:rsid w:val="00627C63"/>
    <w:rsid w:val="006A7971"/>
    <w:rsid w:val="006E5111"/>
    <w:rsid w:val="007011BD"/>
    <w:rsid w:val="00704D73"/>
    <w:rsid w:val="00722B08"/>
    <w:rsid w:val="00726B29"/>
    <w:rsid w:val="0072739F"/>
    <w:rsid w:val="00761900"/>
    <w:rsid w:val="00762DB5"/>
    <w:rsid w:val="00764C13"/>
    <w:rsid w:val="0077377B"/>
    <w:rsid w:val="007B119B"/>
    <w:rsid w:val="007B6F31"/>
    <w:rsid w:val="007C024D"/>
    <w:rsid w:val="007C07CB"/>
    <w:rsid w:val="007C52B1"/>
    <w:rsid w:val="007C763E"/>
    <w:rsid w:val="007C78E4"/>
    <w:rsid w:val="007E5F8C"/>
    <w:rsid w:val="007F1D6E"/>
    <w:rsid w:val="00804317"/>
    <w:rsid w:val="00807AF5"/>
    <w:rsid w:val="00840160"/>
    <w:rsid w:val="00844054"/>
    <w:rsid w:val="008477C6"/>
    <w:rsid w:val="0085489E"/>
    <w:rsid w:val="008627CC"/>
    <w:rsid w:val="00881927"/>
    <w:rsid w:val="00893BB6"/>
    <w:rsid w:val="008B523E"/>
    <w:rsid w:val="008C320B"/>
    <w:rsid w:val="008D081F"/>
    <w:rsid w:val="008D244C"/>
    <w:rsid w:val="008F6E3D"/>
    <w:rsid w:val="00907A1F"/>
    <w:rsid w:val="009244FD"/>
    <w:rsid w:val="00936AD2"/>
    <w:rsid w:val="00971136"/>
    <w:rsid w:val="00987DFA"/>
    <w:rsid w:val="009910CA"/>
    <w:rsid w:val="00994A35"/>
    <w:rsid w:val="009959B6"/>
    <w:rsid w:val="009A0D9F"/>
    <w:rsid w:val="009A4B6E"/>
    <w:rsid w:val="009E2F22"/>
    <w:rsid w:val="00A277F2"/>
    <w:rsid w:val="00A372BB"/>
    <w:rsid w:val="00A50248"/>
    <w:rsid w:val="00A50A62"/>
    <w:rsid w:val="00A51342"/>
    <w:rsid w:val="00A73E4A"/>
    <w:rsid w:val="00A946D0"/>
    <w:rsid w:val="00AC15D7"/>
    <w:rsid w:val="00AD4C4B"/>
    <w:rsid w:val="00AE6DCB"/>
    <w:rsid w:val="00AF1BA1"/>
    <w:rsid w:val="00AF1E6E"/>
    <w:rsid w:val="00B055E5"/>
    <w:rsid w:val="00B2502A"/>
    <w:rsid w:val="00B46135"/>
    <w:rsid w:val="00B5742F"/>
    <w:rsid w:val="00B60E85"/>
    <w:rsid w:val="00B772F2"/>
    <w:rsid w:val="00BA329F"/>
    <w:rsid w:val="00BC21F0"/>
    <w:rsid w:val="00BC6250"/>
    <w:rsid w:val="00BD6CC8"/>
    <w:rsid w:val="00BF1E88"/>
    <w:rsid w:val="00C04D3C"/>
    <w:rsid w:val="00C07616"/>
    <w:rsid w:val="00C2376B"/>
    <w:rsid w:val="00C30194"/>
    <w:rsid w:val="00C74447"/>
    <w:rsid w:val="00CA1854"/>
    <w:rsid w:val="00CA1BD0"/>
    <w:rsid w:val="00CA49F0"/>
    <w:rsid w:val="00CB1DEA"/>
    <w:rsid w:val="00CD553B"/>
    <w:rsid w:val="00CE16AB"/>
    <w:rsid w:val="00CF2A7D"/>
    <w:rsid w:val="00D218A7"/>
    <w:rsid w:val="00D32BC6"/>
    <w:rsid w:val="00D3732E"/>
    <w:rsid w:val="00D41595"/>
    <w:rsid w:val="00D42F6B"/>
    <w:rsid w:val="00D52CAC"/>
    <w:rsid w:val="00D534FE"/>
    <w:rsid w:val="00D55BE3"/>
    <w:rsid w:val="00D71315"/>
    <w:rsid w:val="00D94224"/>
    <w:rsid w:val="00DA0B7F"/>
    <w:rsid w:val="00DA7F28"/>
    <w:rsid w:val="00DC1BBF"/>
    <w:rsid w:val="00DC2CC6"/>
    <w:rsid w:val="00E12514"/>
    <w:rsid w:val="00E3780B"/>
    <w:rsid w:val="00E55C23"/>
    <w:rsid w:val="00E625AA"/>
    <w:rsid w:val="00EA557B"/>
    <w:rsid w:val="00EA7F67"/>
    <w:rsid w:val="00ED27EF"/>
    <w:rsid w:val="00ED2C23"/>
    <w:rsid w:val="00ED407D"/>
    <w:rsid w:val="00ED6D01"/>
    <w:rsid w:val="00EF2FD6"/>
    <w:rsid w:val="00F01FC0"/>
    <w:rsid w:val="00F0651A"/>
    <w:rsid w:val="00F07C17"/>
    <w:rsid w:val="00F17B37"/>
    <w:rsid w:val="00F23CE6"/>
    <w:rsid w:val="00F36696"/>
    <w:rsid w:val="00F42CB7"/>
    <w:rsid w:val="00F4433A"/>
    <w:rsid w:val="00F45416"/>
    <w:rsid w:val="00F46813"/>
    <w:rsid w:val="00F8102E"/>
    <w:rsid w:val="00FA616B"/>
    <w:rsid w:val="00FB0164"/>
    <w:rsid w:val="00FB223E"/>
    <w:rsid w:val="00FB2EB5"/>
    <w:rsid w:val="00FC1FC0"/>
    <w:rsid w:val="00FE251F"/>
    <w:rsid w:val="00FE3139"/>
    <w:rsid w:val="00FF2405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94B24"/>
  <w15:docId w15:val="{1CC7F250-C165-EF40-8564-9722C290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F28"/>
    <w:pPr>
      <w:tabs>
        <w:tab w:val="left" w:pos="6774"/>
      </w:tabs>
      <w:spacing w:after="0" w:line="240" w:lineRule="auto"/>
      <w:outlineLvl w:val="0"/>
    </w:pPr>
    <w:rPr>
      <w:b/>
      <w:color w:val="1F3864" w:themeColor="accent5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D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7F28"/>
    <w:pPr>
      <w:tabs>
        <w:tab w:val="left" w:pos="6774"/>
      </w:tabs>
    </w:pPr>
    <w:rPr>
      <w:b/>
      <w:color w:val="1F3864" w:themeColor="accent5" w:themeShade="8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A7F28"/>
    <w:rPr>
      <w:b/>
      <w:color w:val="1F3864" w:themeColor="accent5" w:themeShade="8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7F28"/>
    <w:rPr>
      <w:b/>
      <w:color w:val="1F3864" w:themeColor="accent5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10AA-1C08-084D-91A5-A36C286A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Helen Thomas</cp:lastModifiedBy>
  <cp:revision>3</cp:revision>
  <dcterms:created xsi:type="dcterms:W3CDTF">2020-05-18T11:08:00Z</dcterms:created>
  <dcterms:modified xsi:type="dcterms:W3CDTF">2020-06-01T10:49:00Z</dcterms:modified>
</cp:coreProperties>
</file>