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3368" w14:textId="6D29D459" w:rsidR="00677651" w:rsidRPr="002F067A" w:rsidRDefault="00AE773A" w:rsidP="002F067A">
      <w:pPr>
        <w:pStyle w:val="Title"/>
      </w:pPr>
      <w:r w:rsidRPr="002F067A">
        <w:t>Literary and authentic materials: rationale and p</w:t>
      </w:r>
      <w:r w:rsidR="00677651" w:rsidRPr="002F067A">
        <w:t xml:space="preserve">rinciples </w:t>
      </w:r>
    </w:p>
    <w:p w14:paraId="7447AA66" w14:textId="3ED75429" w:rsidR="00677651" w:rsidRPr="00A6527F" w:rsidRDefault="00677651" w:rsidP="00677651">
      <w:pPr>
        <w:rPr>
          <w:rFonts w:eastAsia="Calibri" w:cs="Times New Roman"/>
          <w:color w:val="1F3864" w:themeColor="accent5" w:themeShade="80"/>
          <w:sz w:val="22"/>
          <w:szCs w:val="22"/>
          <w:lang w:eastAsia="en-US"/>
        </w:rPr>
      </w:pPr>
      <w:r w:rsidRPr="002F067A">
        <w:rPr>
          <w:rStyle w:val="Heading1Char"/>
        </w:rPr>
        <w:t>Introduction</w:t>
      </w:r>
      <w:r w:rsidR="00DD79EA" w:rsidRPr="00A6527F">
        <w:rPr>
          <w:rFonts w:eastAsia="Calibri" w:cs="Times New Roman"/>
          <w:b/>
          <w:bCs/>
          <w:color w:val="1F3864" w:themeColor="accent5" w:themeShade="80"/>
          <w:sz w:val="22"/>
          <w:szCs w:val="22"/>
          <w:lang w:eastAsia="en-US"/>
        </w:rPr>
        <w:br/>
      </w:r>
      <w:proofErr w:type="gramStart"/>
      <w:r w:rsidRPr="00A6527F">
        <w:rPr>
          <w:rFonts w:eastAsia="Calibri" w:cs="Times New Roman"/>
          <w:color w:val="1F3864" w:themeColor="accent5" w:themeShade="80"/>
          <w:sz w:val="22"/>
          <w:szCs w:val="22"/>
          <w:lang w:eastAsia="en-US"/>
        </w:rPr>
        <w:t>The</w:t>
      </w:r>
      <w:proofErr w:type="gramEnd"/>
      <w:r w:rsidRPr="00A6527F">
        <w:rPr>
          <w:rFonts w:eastAsia="Calibri" w:cs="Times New Roman"/>
          <w:color w:val="1F3864" w:themeColor="accent5" w:themeShade="80"/>
          <w:sz w:val="22"/>
          <w:szCs w:val="22"/>
          <w:lang w:eastAsia="en-US"/>
        </w:rPr>
        <w:t xml:space="preserve"> current versions of the National Curriculum for MFL (2014), new GCSE and A levels place greater emphasis on the use of authentic materials including literary sources than has previously been the case. However, the impact of using such materials on school-aged learners’ motivational and linguistic development has received little research attention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as most studies to date have focused on adults, and more on motivation than on whether using such materials also affects linguistic development.  While such studies do, </w:t>
      </w:r>
      <w:proofErr w:type="gramStart"/>
      <w:r w:rsidRPr="00A6527F">
        <w:rPr>
          <w:rFonts w:eastAsia="Calibri" w:cs="Times New Roman"/>
          <w:color w:val="1F3864" w:themeColor="accent5" w:themeShade="80"/>
          <w:sz w:val="22"/>
          <w:szCs w:val="22"/>
          <w:lang w:eastAsia="en-US"/>
        </w:rPr>
        <w:t>by and large</w:t>
      </w:r>
      <w:proofErr w:type="gramEnd"/>
      <w:r w:rsidRPr="00A6527F">
        <w:rPr>
          <w:rFonts w:eastAsia="Calibri" w:cs="Times New Roman"/>
          <w:color w:val="1F3864" w:themeColor="accent5" w:themeShade="80"/>
          <w:sz w:val="22"/>
          <w:szCs w:val="22"/>
          <w:lang w:eastAsia="en-US"/>
        </w:rPr>
        <w:t>, indicate that learners find reading literature interesting and motivating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they tend not to directly compare using literary/authentic texts with less authentic materials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xml:space="preserve">, 2014).  What is clearer, however, is that </w:t>
      </w:r>
      <w:r w:rsidRPr="00A6527F">
        <w:rPr>
          <w:rFonts w:eastAsia="Calibri" w:cs="Times New Roman"/>
          <w:b/>
          <w:i/>
          <w:color w:val="1F3864" w:themeColor="accent5" w:themeShade="80"/>
          <w:sz w:val="22"/>
          <w:szCs w:val="22"/>
          <w:lang w:eastAsia="en-US"/>
        </w:rPr>
        <w:t>how</w:t>
      </w:r>
      <w:r w:rsidRPr="00A6527F">
        <w:rPr>
          <w:rFonts w:eastAsia="Calibri" w:cs="Times New Roman"/>
          <w:color w:val="1F3864" w:themeColor="accent5" w:themeShade="80"/>
          <w:sz w:val="22"/>
          <w:szCs w:val="22"/>
          <w:lang w:eastAsia="en-US"/>
        </w:rPr>
        <w:t xml:space="preserve"> materials are used is more important than whether they are authentic or not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xml:space="preserve">, 2014; </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xml:space="preserve">, 2008).  </w:t>
      </w:r>
    </w:p>
    <w:p w14:paraId="7C60FC7E" w14:textId="77777777"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following principles are important:</w:t>
      </w:r>
    </w:p>
    <w:p w14:paraId="2FC36E47" w14:textId="77777777" w:rsidR="007A6883" w:rsidRPr="00A6527F" w:rsidRDefault="007A6883"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Literary and other challenging texts can be beneficial </w:t>
      </w:r>
      <w:r w:rsidR="001D0212" w:rsidRPr="00A6527F">
        <w:rPr>
          <w:rFonts w:eastAsia="Calibri" w:cs="Times New Roman"/>
          <w:color w:val="1F3864" w:themeColor="accent5" w:themeShade="80"/>
          <w:sz w:val="22"/>
          <w:szCs w:val="22"/>
          <w:lang w:eastAsia="en-US"/>
        </w:rPr>
        <w:t>for KS3 learners (e.g., for deepening word knowledge)</w:t>
      </w:r>
    </w:p>
    <w:p w14:paraId="776A610C" w14:textId="3187F1E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Activities that prompt personal, emotional and imaginative responses </w:t>
      </w:r>
      <w:r w:rsidR="001D0212" w:rsidRPr="00A6527F">
        <w:rPr>
          <w:rFonts w:eastAsia="Calibri" w:cs="Times New Roman"/>
          <w:color w:val="1F3864" w:themeColor="accent5" w:themeShade="80"/>
          <w:sz w:val="22"/>
          <w:szCs w:val="22"/>
          <w:lang w:eastAsia="en-US"/>
        </w:rPr>
        <w:t xml:space="preserve">enhance </w:t>
      </w:r>
      <w:r w:rsidRPr="00A6527F">
        <w:rPr>
          <w:rFonts w:eastAsia="Calibri" w:cs="Times New Roman"/>
          <w:color w:val="1F3864" w:themeColor="accent5" w:themeShade="80"/>
          <w:sz w:val="22"/>
          <w:szCs w:val="22"/>
          <w:lang w:eastAsia="en-US"/>
        </w:rPr>
        <w:t>a more functional focus on grammar and vocabulary</w:t>
      </w:r>
    </w:p>
    <w:p w14:paraId="4719FF99" w14:textId="7777777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Individual differences matter in terms of which approach</w:t>
      </w:r>
      <w:r w:rsidR="00AE773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w:t>
      </w:r>
      <w:r w:rsidR="00AE773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text type suits different kinds of learner</w:t>
      </w:r>
    </w:p>
    <w:p w14:paraId="4B6F5C56" w14:textId="77777777" w:rsidR="00677651" w:rsidRPr="00A6527F" w:rsidRDefault="00677651" w:rsidP="00677651">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Pre, during and post-reading and listening activities need to maximise ‘involvement’</w:t>
      </w:r>
    </w:p>
    <w:p w14:paraId="0A361B39" w14:textId="4757F625" w:rsidR="001D0212" w:rsidRPr="00A6527F" w:rsidRDefault="00677651" w:rsidP="00F57EF9">
      <w:pPr>
        <w:numPr>
          <w:ilvl w:val="0"/>
          <w:numId w:val="1"/>
        </w:numPr>
        <w:tabs>
          <w:tab w:val="num" w:pos="284"/>
        </w:tabs>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Comprehension, self-regulatory strategies can </w:t>
      </w:r>
      <w:r w:rsidR="001D0212" w:rsidRPr="00A6527F">
        <w:rPr>
          <w:rFonts w:eastAsia="Calibri" w:cs="Times New Roman"/>
          <w:color w:val="1F3864" w:themeColor="accent5" w:themeShade="80"/>
          <w:sz w:val="22"/>
          <w:szCs w:val="22"/>
          <w:lang w:eastAsia="en-US"/>
        </w:rPr>
        <w:t xml:space="preserve">benefit </w:t>
      </w:r>
      <w:r w:rsidRPr="00A6527F">
        <w:rPr>
          <w:rFonts w:eastAsia="Calibri" w:cs="Times New Roman"/>
          <w:color w:val="1F3864" w:themeColor="accent5" w:themeShade="80"/>
          <w:sz w:val="22"/>
          <w:szCs w:val="22"/>
          <w:lang w:eastAsia="en-US"/>
        </w:rPr>
        <w:t>self-efficacy and hence persistence with more challenging texts</w:t>
      </w:r>
    </w:p>
    <w:p w14:paraId="3577C997" w14:textId="65D63220" w:rsidR="00677651" w:rsidRPr="00A6527F" w:rsidRDefault="001D0212" w:rsidP="00DD79EA">
      <w:pPr>
        <w:numPr>
          <w:ilvl w:val="0"/>
          <w:numId w:val="1"/>
        </w:numPr>
        <w:tabs>
          <w:tab w:val="num" w:pos="284"/>
        </w:tabs>
        <w:rPr>
          <w:rFonts w:eastAsia="Calibri" w:cs="Times New Roman"/>
          <w:b/>
          <w:bCs/>
          <w:color w:val="1F3864" w:themeColor="accent5" w:themeShade="80"/>
          <w:sz w:val="22"/>
          <w:szCs w:val="22"/>
          <w:lang w:eastAsia="en-US"/>
        </w:rPr>
      </w:pPr>
      <w:r w:rsidRPr="00A6527F">
        <w:rPr>
          <w:rFonts w:eastAsia="Calibri" w:cs="Times New Roman"/>
          <w:color w:val="1F3864" w:themeColor="accent5" w:themeShade="80"/>
          <w:sz w:val="22"/>
          <w:szCs w:val="22"/>
          <w:lang w:eastAsia="en-US"/>
        </w:rPr>
        <w:t>A focus on phonics is important for exploiting challenging texts, including sounding out words to help access meaning</w:t>
      </w:r>
    </w:p>
    <w:p w14:paraId="4F7D7B7F" w14:textId="77777777" w:rsidR="00677651" w:rsidRPr="00A6527F" w:rsidRDefault="00677651" w:rsidP="002F067A">
      <w:pPr>
        <w:pStyle w:val="Heading1"/>
      </w:pPr>
      <w:r w:rsidRPr="00A6527F">
        <w:t>1. What are the potential benefits of using literary/authentic materials?</w:t>
      </w:r>
    </w:p>
    <w:p w14:paraId="070B0FC2" w14:textId="65C47D69" w:rsidR="00677651" w:rsidRPr="00A6527F" w:rsidRDefault="00677651" w:rsidP="00677651">
      <w:pPr>
        <w:rPr>
          <w:rFonts w:eastAsia="Calibri" w:cs="Times New Roman"/>
          <w:color w:val="1F3864" w:themeColor="accent5" w:themeShade="80"/>
          <w:sz w:val="22"/>
          <w:szCs w:val="22"/>
          <w:lang w:eastAsia="en-US"/>
        </w:rPr>
      </w:pPr>
      <w:r w:rsidRPr="002F067A">
        <w:rPr>
          <w:rStyle w:val="Heading2Char"/>
        </w:rPr>
        <w:t>1.1 Motivation</w:t>
      </w:r>
      <w:r w:rsidR="00DD79EA" w:rsidRPr="00A6527F">
        <w:rPr>
          <w:rFonts w:eastAsia="Calibri" w:cs="Times New Roman"/>
          <w:b/>
          <w:bCs/>
          <w:color w:val="1F3864" w:themeColor="accent5" w:themeShade="80"/>
          <w:sz w:val="22"/>
          <w:szCs w:val="22"/>
          <w:lang w:eastAsia="en-US"/>
        </w:rPr>
        <w:br/>
      </w:r>
      <w:r w:rsidR="009317A9" w:rsidRPr="00A6527F">
        <w:rPr>
          <w:rFonts w:eastAsia="Calibri" w:cs="Times New Roman"/>
          <w:color w:val="1F3864" w:themeColor="accent5" w:themeShade="80"/>
          <w:sz w:val="22"/>
          <w:szCs w:val="22"/>
          <w:lang w:eastAsia="en-US"/>
        </w:rPr>
        <w:t>The</w:t>
      </w:r>
      <w:r w:rsidRPr="00A6527F">
        <w:rPr>
          <w:rFonts w:eastAsia="Calibri" w:cs="Times New Roman"/>
          <w:color w:val="1F3864" w:themeColor="accent5" w:themeShade="80"/>
          <w:sz w:val="22"/>
          <w:szCs w:val="22"/>
          <w:lang w:eastAsia="en-US"/>
        </w:rPr>
        <w:t xml:space="preserve"> use of literary</w:t>
      </w:r>
      <w:r w:rsidR="009317A9" w:rsidRPr="00A6527F">
        <w:rPr>
          <w:rFonts w:eastAsia="Calibri" w:cs="Times New Roman"/>
          <w:color w:val="1F3864" w:themeColor="accent5" w:themeShade="80"/>
          <w:sz w:val="22"/>
          <w:szCs w:val="22"/>
          <w:lang w:eastAsia="en-US"/>
        </w:rPr>
        <w:t xml:space="preserve"> and other </w:t>
      </w:r>
      <w:r w:rsidRPr="00A6527F">
        <w:rPr>
          <w:rFonts w:eastAsia="Calibri" w:cs="Times New Roman"/>
          <w:color w:val="1F3864" w:themeColor="accent5" w:themeShade="80"/>
          <w:sz w:val="22"/>
          <w:szCs w:val="22"/>
          <w:lang w:eastAsia="en-US"/>
        </w:rPr>
        <w:t xml:space="preserve">authentic texts has the potential to benefit motivation for </w:t>
      </w:r>
      <w:r w:rsidR="009317A9" w:rsidRPr="00A6527F">
        <w:rPr>
          <w:rFonts w:eastAsia="Calibri" w:cs="Times New Roman"/>
          <w:color w:val="1F3864" w:themeColor="accent5" w:themeShade="80"/>
          <w:sz w:val="22"/>
          <w:szCs w:val="22"/>
          <w:lang w:eastAsia="en-US"/>
        </w:rPr>
        <w:t>language learning</w:t>
      </w:r>
      <w:r w:rsidRPr="00A6527F">
        <w:rPr>
          <w:rFonts w:eastAsia="Calibri" w:cs="Times New Roman"/>
          <w:color w:val="1F3864" w:themeColor="accent5" w:themeShade="80"/>
          <w:sz w:val="22"/>
          <w:szCs w:val="22"/>
          <w:lang w:eastAsia="en-US"/>
        </w:rPr>
        <w:t>, based on what we know from research about what motivates</w:t>
      </w:r>
      <w:r w:rsidR="009317A9" w:rsidRPr="00A6527F">
        <w:rPr>
          <w:rFonts w:eastAsia="Calibri" w:cs="Times New Roman"/>
          <w:color w:val="1F3864" w:themeColor="accent5" w:themeShade="80"/>
          <w:sz w:val="22"/>
          <w:szCs w:val="22"/>
          <w:lang w:eastAsia="en-US"/>
        </w:rPr>
        <w:t xml:space="preserve"> and </w:t>
      </w:r>
      <w:r w:rsidRPr="00A6527F">
        <w:rPr>
          <w:rFonts w:eastAsia="Calibri" w:cs="Times New Roman"/>
          <w:color w:val="1F3864" w:themeColor="accent5" w:themeShade="80"/>
          <w:sz w:val="22"/>
          <w:szCs w:val="22"/>
          <w:lang w:eastAsia="en-US"/>
        </w:rPr>
        <w:t xml:space="preserve">demotivates learners in our context. Lack of interest </w:t>
      </w:r>
      <w:proofErr w:type="gramStart"/>
      <w:r w:rsidRPr="00A6527F">
        <w:rPr>
          <w:rFonts w:eastAsia="Calibri" w:cs="Times New Roman"/>
          <w:color w:val="1F3864" w:themeColor="accent5" w:themeShade="80"/>
          <w:sz w:val="22"/>
          <w:szCs w:val="22"/>
          <w:lang w:eastAsia="en-US"/>
        </w:rPr>
        <w:t>in what they are learning and low-self efficacy or confidence</w:t>
      </w:r>
      <w:proofErr w:type="gramEnd"/>
      <w:r w:rsidRPr="00A6527F">
        <w:rPr>
          <w:rFonts w:eastAsia="Calibri" w:cs="Times New Roman"/>
          <w:color w:val="1F3864" w:themeColor="accent5" w:themeShade="80"/>
          <w:sz w:val="22"/>
          <w:szCs w:val="22"/>
          <w:lang w:eastAsia="en-US"/>
        </w:rPr>
        <w:t xml:space="preserve"> are key drivers for giving up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 xml:space="preserve">study (Graham, 2002, 2004, 2018).  By contrast, research indicates that intrinsic interest in learning about the language and its associated culture </w:t>
      </w:r>
      <w:r w:rsidR="009317A9" w:rsidRPr="00A6527F">
        <w:rPr>
          <w:rFonts w:eastAsia="Calibri" w:cs="Times New Roman"/>
          <w:color w:val="1F3864" w:themeColor="accent5" w:themeShade="80"/>
          <w:sz w:val="22"/>
          <w:szCs w:val="22"/>
          <w:lang w:eastAsia="en-US"/>
        </w:rPr>
        <w:t xml:space="preserve">is an </w:t>
      </w:r>
      <w:r w:rsidRPr="00A6527F">
        <w:rPr>
          <w:rFonts w:eastAsia="Calibri" w:cs="Times New Roman"/>
          <w:color w:val="1F3864" w:themeColor="accent5" w:themeShade="80"/>
          <w:sz w:val="22"/>
          <w:szCs w:val="22"/>
          <w:lang w:eastAsia="en-US"/>
        </w:rPr>
        <w:t xml:space="preserve">important </w:t>
      </w:r>
      <w:r w:rsidR="009317A9" w:rsidRPr="00A6527F">
        <w:rPr>
          <w:rFonts w:eastAsia="Calibri" w:cs="Times New Roman"/>
          <w:color w:val="1F3864" w:themeColor="accent5" w:themeShade="80"/>
          <w:sz w:val="22"/>
          <w:szCs w:val="22"/>
          <w:lang w:eastAsia="en-US"/>
        </w:rPr>
        <w:t xml:space="preserve">reason </w:t>
      </w:r>
      <w:r w:rsidRPr="00A6527F">
        <w:rPr>
          <w:rFonts w:eastAsia="Calibri" w:cs="Times New Roman"/>
          <w:color w:val="1F3864" w:themeColor="accent5" w:themeShade="80"/>
          <w:sz w:val="22"/>
          <w:szCs w:val="22"/>
          <w:lang w:eastAsia="en-US"/>
        </w:rPr>
        <w:t xml:space="preserve">for continuing with language study (Fisher, 2001; Graham, 2002, 2004, 2018).  Learners at primary school report enjoying learning about the L2 culture but also identify a decreased focus on cultural aspects in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 xml:space="preserve">lessons as they move to secondary school, with a potentially negative impact on their intrinsic motivation (Graham, Courtney, </w:t>
      </w:r>
      <w:proofErr w:type="spellStart"/>
      <w:r w:rsidRPr="00A6527F">
        <w:rPr>
          <w:rFonts w:eastAsia="Calibri" w:cs="Times New Roman"/>
          <w:color w:val="1F3864" w:themeColor="accent5" w:themeShade="80"/>
          <w:sz w:val="22"/>
          <w:szCs w:val="22"/>
          <w:lang w:eastAsia="en-US"/>
        </w:rPr>
        <w:t>Tonkyn</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Marinis</w:t>
      </w:r>
      <w:proofErr w:type="spellEnd"/>
      <w:r w:rsidRPr="00A6527F">
        <w:rPr>
          <w:rFonts w:eastAsia="Calibri" w:cs="Times New Roman"/>
          <w:color w:val="1F3864" w:themeColor="accent5" w:themeShade="80"/>
          <w:sz w:val="22"/>
          <w:szCs w:val="22"/>
          <w:lang w:eastAsia="en-US"/>
        </w:rPr>
        <w:t>, 2016).  Furthermore, using literary</w:t>
      </w:r>
      <w:r w:rsidR="009317A9" w:rsidRPr="00A6527F">
        <w:rPr>
          <w:rFonts w:eastAsia="Calibri" w:cs="Times New Roman"/>
          <w:color w:val="1F3864" w:themeColor="accent5" w:themeShade="80"/>
          <w:sz w:val="22"/>
          <w:szCs w:val="22"/>
          <w:lang w:eastAsia="en-US"/>
        </w:rPr>
        <w:t xml:space="preserve"> and/or </w:t>
      </w:r>
      <w:r w:rsidRPr="00A6527F">
        <w:rPr>
          <w:rFonts w:eastAsia="Calibri" w:cs="Times New Roman"/>
          <w:color w:val="1F3864" w:themeColor="accent5" w:themeShade="80"/>
          <w:sz w:val="22"/>
          <w:szCs w:val="22"/>
          <w:lang w:eastAsia="en-US"/>
        </w:rPr>
        <w:t>authentic texts can potentially enhance the personal relevance of language learning</w:t>
      </w:r>
      <w:r w:rsidR="009317A9"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Taylor and Marsden (2014) found the latter to be a key factor in determining whether adolescent learners in England chose to continue language study after the age of 14.</w:t>
      </w:r>
      <w:bookmarkStart w:id="0" w:name="_GoBack"/>
      <w:bookmarkEnd w:id="0"/>
    </w:p>
    <w:p w14:paraId="4E683EB9" w14:textId="2A6427D0"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Literary/authentic materials can also have an emotional or ‘affective’ impact. </w:t>
      </w:r>
      <w:proofErr w:type="gramStart"/>
      <w:r w:rsidRPr="00A6527F">
        <w:rPr>
          <w:rFonts w:eastAsia="Calibri" w:cs="Times New Roman"/>
          <w:color w:val="1F3864" w:themeColor="accent5" w:themeShade="80"/>
          <w:sz w:val="22"/>
          <w:szCs w:val="22"/>
          <w:lang w:eastAsia="en-US"/>
        </w:rPr>
        <w:t>Emotions and enjoyment are closely linked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xml:space="preserve">, Witney, Saito, &amp;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xml:space="preserve">, 2017) but compared to other school subject areas (for example History, English, PSHE), </w:t>
      </w:r>
      <w:r w:rsidR="009317A9" w:rsidRPr="00A6527F">
        <w:rPr>
          <w:rFonts w:eastAsia="Calibri" w:cs="Times New Roman"/>
          <w:color w:val="1F3864" w:themeColor="accent5" w:themeShade="80"/>
          <w:sz w:val="22"/>
          <w:szCs w:val="22"/>
          <w:lang w:eastAsia="en-US"/>
        </w:rPr>
        <w:t xml:space="preserve">language </w:t>
      </w:r>
      <w:r w:rsidRPr="00A6527F">
        <w:rPr>
          <w:rFonts w:eastAsia="Calibri" w:cs="Times New Roman"/>
          <w:color w:val="1F3864" w:themeColor="accent5" w:themeShade="80"/>
          <w:sz w:val="22"/>
          <w:szCs w:val="22"/>
          <w:lang w:eastAsia="en-US"/>
        </w:rPr>
        <w:t>lessons typically steer clear of topics that might prompt an emotional reaction in learners and hence may offer ‘relatively emotion-free (and therefore often boring) classroom sessions (…) that require little emotional investment and therefore little potential  for unpredictability, outbursts, surprise, risk-taking, embarrassment, anxiety ... and enjoyment’ (</w:t>
      </w:r>
      <w:proofErr w:type="spellStart"/>
      <w:r w:rsidRPr="00A6527F">
        <w:rPr>
          <w:rFonts w:eastAsia="Calibri" w:cs="Times New Roman"/>
          <w:color w:val="1F3864" w:themeColor="accent5" w:themeShade="80"/>
          <w:sz w:val="22"/>
          <w:szCs w:val="22"/>
          <w:lang w:eastAsia="en-US"/>
        </w:rPr>
        <w:t>Dewaele</w:t>
      </w:r>
      <w:proofErr w:type="spellEnd"/>
      <w:r w:rsidRPr="00A6527F">
        <w:rPr>
          <w:rFonts w:eastAsia="Calibri" w:cs="Times New Roman"/>
          <w:color w:val="1F3864" w:themeColor="accent5" w:themeShade="80"/>
          <w:sz w:val="22"/>
          <w:szCs w:val="22"/>
          <w:lang w:eastAsia="en-US"/>
        </w:rPr>
        <w:t>, 2015, 13).</w:t>
      </w:r>
      <w:proofErr w:type="gramEnd"/>
    </w:p>
    <w:p w14:paraId="103B105C" w14:textId="77777777" w:rsidR="00677651" w:rsidRPr="00A6527F" w:rsidRDefault="00677651" w:rsidP="002F067A">
      <w:pPr>
        <w:pStyle w:val="Heading2"/>
      </w:pPr>
      <w:proofErr w:type="gramStart"/>
      <w:r w:rsidRPr="00A6527F">
        <w:lastRenderedPageBreak/>
        <w:t>1.2  Learning</w:t>
      </w:r>
      <w:proofErr w:type="gramEnd"/>
      <w:r w:rsidRPr="00A6527F">
        <w:t xml:space="preserve"> outcomes</w:t>
      </w:r>
    </w:p>
    <w:p w14:paraId="7260A03E" w14:textId="71A0AF61" w:rsidR="00DD79EA" w:rsidRPr="00A6527F" w:rsidRDefault="00DD79EA" w:rsidP="00DD79EA">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1. Vocabulary gains</w:t>
      </w:r>
      <w:r w:rsidRPr="00A6527F">
        <w:rPr>
          <w:rFonts w:eastAsia="Calibri" w:cs="Times New Roman"/>
          <w:color w:val="1F3864" w:themeColor="accent5" w:themeShade="80"/>
          <w:sz w:val="22"/>
          <w:szCs w:val="22"/>
          <w:lang w:eastAsia="en-US"/>
        </w:rPr>
        <w:t xml:space="preserve"> and progress in </w:t>
      </w:r>
      <w:r w:rsidRPr="00A6527F">
        <w:rPr>
          <w:rFonts w:eastAsia="Calibri" w:cs="Times New Roman"/>
          <w:b/>
          <w:bCs/>
          <w:color w:val="1F3864" w:themeColor="accent5" w:themeShade="80"/>
          <w:sz w:val="22"/>
          <w:szCs w:val="22"/>
          <w:lang w:eastAsia="en-US"/>
        </w:rPr>
        <w:t>reading</w:t>
      </w:r>
      <w:r w:rsidRPr="00A6527F">
        <w:rPr>
          <w:rFonts w:eastAsia="Calibri" w:cs="Times New Roman"/>
          <w:color w:val="1F3864" w:themeColor="accent5" w:themeShade="80"/>
          <w:sz w:val="22"/>
          <w:szCs w:val="22"/>
          <w:lang w:eastAsia="en-US"/>
        </w:rPr>
        <w:t xml:space="preserve"> were found by </w:t>
      </w:r>
      <w:proofErr w:type="spellStart"/>
      <w:r w:rsidRPr="00A6527F">
        <w:rPr>
          <w:rFonts w:eastAsia="Calibri" w:cs="Times New Roman"/>
          <w:color w:val="1F3864" w:themeColor="accent5" w:themeShade="80"/>
          <w:sz w:val="22"/>
          <w:szCs w:val="22"/>
          <w:lang w:eastAsia="en-US"/>
        </w:rPr>
        <w:t>Woore</w:t>
      </w:r>
      <w:proofErr w:type="spellEnd"/>
      <w:r w:rsidRPr="00A6527F">
        <w:rPr>
          <w:rFonts w:eastAsia="Calibri" w:cs="Times New Roman"/>
          <w:color w:val="1F3864" w:themeColor="accent5" w:themeShade="80"/>
          <w:sz w:val="22"/>
          <w:szCs w:val="22"/>
          <w:lang w:eastAsia="en-US"/>
        </w:rPr>
        <w:t xml:space="preserve"> et al. (2018) for Year 7 learners who read semi-authentic, </w:t>
      </w:r>
      <w:proofErr w:type="gramStart"/>
      <w:r w:rsidRPr="00A6527F">
        <w:rPr>
          <w:rFonts w:eastAsia="Calibri" w:cs="Times New Roman"/>
          <w:color w:val="1F3864" w:themeColor="accent5" w:themeShade="80"/>
          <w:sz w:val="22"/>
          <w:szCs w:val="22"/>
          <w:lang w:eastAsia="en-US"/>
        </w:rPr>
        <w:t>culturally-rich</w:t>
      </w:r>
      <w:proofErr w:type="gramEnd"/>
      <w:r w:rsidRPr="00A6527F">
        <w:rPr>
          <w:rFonts w:eastAsia="Calibri" w:cs="Times New Roman"/>
          <w:color w:val="1F3864" w:themeColor="accent5" w:themeShade="80"/>
          <w:sz w:val="22"/>
          <w:szCs w:val="22"/>
          <w:lang w:eastAsia="en-US"/>
        </w:rPr>
        <w:t xml:space="preserve"> texts.  Similarly, in a study by Maxim (2000), beginner learners of German (adults) who read a novel in class made gains in language tests </w:t>
      </w:r>
      <w:proofErr w:type="gramStart"/>
      <w:r w:rsidRPr="00A6527F">
        <w:rPr>
          <w:rFonts w:eastAsia="Calibri" w:cs="Times New Roman"/>
          <w:color w:val="1F3864" w:themeColor="accent5" w:themeShade="80"/>
          <w:sz w:val="22"/>
          <w:szCs w:val="22"/>
          <w:lang w:eastAsia="en-US"/>
        </w:rPr>
        <w:t>that were equivalent to those made by learners who just studied the usual textbook</w:t>
      </w:r>
      <w:proofErr w:type="gramEnd"/>
      <w:r w:rsidRPr="00A6527F">
        <w:rPr>
          <w:rFonts w:eastAsia="Calibri" w:cs="Times New Roman"/>
          <w:color w:val="1F3864" w:themeColor="accent5" w:themeShade="80"/>
          <w:sz w:val="22"/>
          <w:szCs w:val="22"/>
          <w:lang w:eastAsia="en-US"/>
        </w:rPr>
        <w:t>.</w:t>
      </w:r>
    </w:p>
    <w:p w14:paraId="44EF4208" w14:textId="67B95EA3" w:rsidR="00677651" w:rsidRPr="00A6527F" w:rsidRDefault="00DD79EA" w:rsidP="00677651">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 xml:space="preserve">2. </w:t>
      </w:r>
      <w:r w:rsidR="00677651" w:rsidRPr="00A6527F">
        <w:rPr>
          <w:rFonts w:eastAsia="Calibri" w:cs="Times New Roman"/>
          <w:b/>
          <w:bCs/>
          <w:color w:val="1F3864" w:themeColor="accent5" w:themeShade="80"/>
          <w:sz w:val="22"/>
          <w:szCs w:val="22"/>
          <w:lang w:eastAsia="en-US"/>
        </w:rPr>
        <w:t xml:space="preserve">Intercultural understanding </w:t>
      </w:r>
      <w:r w:rsidR="00677651" w:rsidRPr="00A6527F">
        <w:rPr>
          <w:rFonts w:eastAsia="Calibri" w:cs="Times New Roman"/>
          <w:color w:val="1F3864" w:themeColor="accent5" w:themeShade="80"/>
          <w:sz w:val="22"/>
          <w:szCs w:val="22"/>
          <w:lang w:eastAsia="en-US"/>
        </w:rPr>
        <w:t xml:space="preserve">and openness to the perspectives of others </w:t>
      </w:r>
      <w:proofErr w:type="gramStart"/>
      <w:r w:rsidR="00677651" w:rsidRPr="00A6527F">
        <w:rPr>
          <w:rFonts w:eastAsia="Calibri" w:cs="Times New Roman"/>
          <w:color w:val="1F3864" w:themeColor="accent5" w:themeShade="80"/>
          <w:sz w:val="22"/>
          <w:szCs w:val="22"/>
          <w:lang w:eastAsia="en-US"/>
        </w:rPr>
        <w:t>have been found to be more effectively developed</w:t>
      </w:r>
      <w:proofErr w:type="gramEnd"/>
      <w:r w:rsidR="00677651" w:rsidRPr="00A6527F">
        <w:rPr>
          <w:rFonts w:eastAsia="Calibri" w:cs="Times New Roman"/>
          <w:color w:val="1F3864" w:themeColor="accent5" w:themeShade="80"/>
          <w:sz w:val="22"/>
          <w:szCs w:val="22"/>
          <w:lang w:eastAsia="en-US"/>
        </w:rPr>
        <w:t xml:space="preserve"> through reading a poem that highlights aspects of the lives of others than through reading a fact sheet about their life (Scott &amp; Huntington, 2002).  </w:t>
      </w:r>
    </w:p>
    <w:p w14:paraId="29C517FB" w14:textId="325FE002" w:rsidR="00677651" w:rsidRPr="00A6527F" w:rsidRDefault="00DD79EA" w:rsidP="00677651">
      <w:p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3</w:t>
      </w:r>
      <w:r w:rsidR="00677651" w:rsidRPr="00A6527F">
        <w:rPr>
          <w:rFonts w:eastAsia="Calibri" w:cs="Times New Roman"/>
          <w:b/>
          <w:bCs/>
          <w:color w:val="1F3864" w:themeColor="accent5" w:themeShade="80"/>
          <w:sz w:val="22"/>
          <w:szCs w:val="22"/>
          <w:lang w:eastAsia="en-US"/>
        </w:rPr>
        <w:t>.  Increased and more complex spoken interaction</w:t>
      </w:r>
      <w:r w:rsidR="00677651" w:rsidRPr="00A6527F">
        <w:rPr>
          <w:rFonts w:eastAsia="Calibri" w:cs="Times New Roman"/>
          <w:b/>
          <w:bCs/>
          <w:i/>
          <w:iCs/>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 xml:space="preserve">(Kim, 2004) and significant improvement in </w:t>
      </w:r>
      <w:r w:rsidR="00677651" w:rsidRPr="00A6527F">
        <w:rPr>
          <w:rFonts w:eastAsia="Calibri" w:cs="Times New Roman"/>
          <w:b/>
          <w:bCs/>
          <w:color w:val="1F3864" w:themeColor="accent5" w:themeShade="80"/>
          <w:sz w:val="22"/>
          <w:szCs w:val="22"/>
          <w:lang w:eastAsia="en-US"/>
        </w:rPr>
        <w:t>grammatical knowledge and usage</w:t>
      </w:r>
      <w:r w:rsidR="00677651" w:rsidRPr="00A6527F">
        <w:rPr>
          <w:rFonts w:eastAsia="Calibri" w:cs="Times New Roman"/>
          <w:color w:val="1F3864" w:themeColor="accent5" w:themeShade="80"/>
          <w:sz w:val="22"/>
          <w:szCs w:val="22"/>
          <w:lang w:eastAsia="en-US"/>
        </w:rPr>
        <w:t xml:space="preserve"> (Yang, 2001, 2002) </w:t>
      </w:r>
      <w:proofErr w:type="gramStart"/>
      <w:r w:rsidR="00677651" w:rsidRPr="00A6527F">
        <w:rPr>
          <w:rFonts w:eastAsia="Calibri" w:cs="Times New Roman"/>
          <w:color w:val="1F3864" w:themeColor="accent5" w:themeShade="80"/>
          <w:sz w:val="22"/>
          <w:szCs w:val="22"/>
          <w:lang w:eastAsia="en-US"/>
        </w:rPr>
        <w:t>have also been reported</w:t>
      </w:r>
      <w:proofErr w:type="gramEnd"/>
      <w:r w:rsidR="00677651" w:rsidRPr="00A6527F">
        <w:rPr>
          <w:rFonts w:eastAsia="Calibri" w:cs="Times New Roman"/>
          <w:color w:val="1F3864" w:themeColor="accent5" w:themeShade="80"/>
          <w:sz w:val="22"/>
          <w:szCs w:val="22"/>
          <w:lang w:eastAsia="en-US"/>
        </w:rPr>
        <w:t xml:space="preserve"> for classes reading literary texts. </w:t>
      </w:r>
    </w:p>
    <w:p w14:paraId="6E45FEB0" w14:textId="77777777" w:rsidR="00677651" w:rsidRPr="00A6527F" w:rsidRDefault="00677651" w:rsidP="002F067A">
      <w:pPr>
        <w:pStyle w:val="Heading1"/>
      </w:pPr>
      <w:r w:rsidRPr="00A6527F">
        <w:t>2.  Principles for using literary/authentic texts </w:t>
      </w:r>
    </w:p>
    <w:p w14:paraId="0E48A3F8" w14:textId="44FE9A0F" w:rsidR="00677651" w:rsidRPr="00A6527F" w:rsidRDefault="00677651" w:rsidP="002F067A">
      <w:pPr>
        <w:pStyle w:val="Heading2"/>
      </w:pPr>
      <w:proofErr w:type="gramStart"/>
      <w:r w:rsidRPr="00A6527F">
        <w:t>2.1  Pre</w:t>
      </w:r>
      <w:proofErr w:type="gramEnd"/>
      <w:r w:rsidR="00302BA3" w:rsidRPr="00A6527F">
        <w:t>-</w:t>
      </w:r>
      <w:r w:rsidRPr="00A6527F">
        <w:t>, during and post-reading and listening activities need to maximise ‘involvement’</w:t>
      </w:r>
    </w:p>
    <w:p w14:paraId="13C728A7" w14:textId="7668FFF9"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Learning through extensive reading/listening is known as ‘incidental learning’, i.e.</w:t>
      </w:r>
      <w:r w:rsidR="00302BA3"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vocabulary is ‘picked up’ in an activity where the focus is on understanding the material rather than on explicitly or intentionally learning the vocabulary it contains. It can aid vocabulary growth because words need to be met many times and in many </w:t>
      </w:r>
      <w:r w:rsidRPr="00A6527F">
        <w:rPr>
          <w:rFonts w:eastAsia="Calibri" w:cs="Times New Roman"/>
          <w:b/>
          <w:bCs/>
          <w:color w:val="1F3864" w:themeColor="accent5" w:themeShade="80"/>
          <w:sz w:val="22"/>
          <w:szCs w:val="22"/>
          <w:lang w:eastAsia="en-US"/>
        </w:rPr>
        <w:t xml:space="preserve">different contexts </w:t>
      </w:r>
      <w:r w:rsidRPr="00A6527F">
        <w:rPr>
          <w:rFonts w:eastAsia="Calibri" w:cs="Times New Roman"/>
          <w:color w:val="1F3864" w:themeColor="accent5" w:themeShade="80"/>
          <w:sz w:val="22"/>
          <w:szCs w:val="22"/>
          <w:lang w:eastAsia="en-US"/>
        </w:rPr>
        <w:t xml:space="preserve">in order to </w:t>
      </w:r>
      <w:proofErr w:type="gramStart"/>
      <w:r w:rsidRPr="00A6527F">
        <w:rPr>
          <w:rFonts w:eastAsia="Calibri" w:cs="Times New Roman"/>
          <w:color w:val="1F3864" w:themeColor="accent5" w:themeShade="80"/>
          <w:sz w:val="22"/>
          <w:szCs w:val="22"/>
          <w:lang w:eastAsia="en-US"/>
        </w:rPr>
        <w:t>be learned</w:t>
      </w:r>
      <w:proofErr w:type="gramEnd"/>
      <w:r w:rsidRPr="00A6527F">
        <w:rPr>
          <w:rFonts w:eastAsia="Calibri" w:cs="Times New Roman"/>
          <w:color w:val="1F3864" w:themeColor="accent5" w:themeShade="80"/>
          <w:sz w:val="22"/>
          <w:szCs w:val="22"/>
          <w:lang w:eastAsia="en-US"/>
        </w:rPr>
        <w:t xml:space="preserve"> well.  It also helps develop </w:t>
      </w:r>
      <w:r w:rsidRPr="00A6527F">
        <w:rPr>
          <w:rFonts w:eastAsia="Calibri" w:cs="Times New Roman"/>
          <w:b/>
          <w:bCs/>
          <w:color w:val="1F3864" w:themeColor="accent5" w:themeShade="80"/>
          <w:sz w:val="22"/>
          <w:szCs w:val="22"/>
          <w:lang w:eastAsia="en-US"/>
        </w:rPr>
        <w:t xml:space="preserve">depth of knowledge </w:t>
      </w:r>
      <w:r w:rsidRPr="00A6527F">
        <w:rPr>
          <w:rFonts w:eastAsia="Calibri" w:cs="Times New Roman"/>
          <w:color w:val="1F3864" w:themeColor="accent5" w:themeShade="80"/>
          <w:sz w:val="22"/>
          <w:szCs w:val="22"/>
          <w:lang w:eastAsia="en-US"/>
        </w:rPr>
        <w:t xml:space="preserve">(shades of meaning, collocations, etc.) as well as breadth of knowledge (i.e. number of new words learnt).  </w:t>
      </w:r>
    </w:p>
    <w:p w14:paraId="5A6F540D" w14:textId="77777777"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Incidental learning from extensive reading/listening does depend, however, on several factors (Ellis &amp; </w:t>
      </w:r>
      <w:proofErr w:type="spellStart"/>
      <w:r w:rsidRPr="00A6527F">
        <w:rPr>
          <w:rFonts w:eastAsia="Calibri" w:cs="Times New Roman"/>
          <w:color w:val="1F3864" w:themeColor="accent5" w:themeShade="80"/>
          <w:sz w:val="22"/>
          <w:szCs w:val="22"/>
          <w:lang w:eastAsia="en-US"/>
        </w:rPr>
        <w:t>Shintani</w:t>
      </w:r>
      <w:proofErr w:type="spellEnd"/>
      <w:r w:rsidRPr="00A6527F">
        <w:rPr>
          <w:rFonts w:eastAsia="Calibri" w:cs="Times New Roman"/>
          <w:color w:val="1F3864" w:themeColor="accent5" w:themeShade="80"/>
          <w:sz w:val="22"/>
          <w:szCs w:val="22"/>
          <w:lang w:eastAsia="en-US"/>
        </w:rPr>
        <w:t>, 2014, p.190):</w:t>
      </w:r>
    </w:p>
    <w:p w14:paraId="7BF85833" w14:textId="77777777"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Learners need access to large amounts of input</w:t>
      </w:r>
    </w:p>
    <w:p w14:paraId="015CA8CC" w14:textId="23216D51"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input needs to be comprehensible</w:t>
      </w:r>
    </w:p>
    <w:p w14:paraId="5AC44EC8" w14:textId="77777777"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The input also needs to be sufficiently linguistically rich to provide affordances for learning</w:t>
      </w:r>
    </w:p>
    <w:p w14:paraId="380F4319" w14:textId="546B85EE" w:rsidR="00677651" w:rsidRPr="00A6527F" w:rsidRDefault="00677651" w:rsidP="00DD79EA">
      <w:pPr>
        <w:numPr>
          <w:ilvl w:val="0"/>
          <w:numId w:val="5"/>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Learners need to not just comprehend the input but also pay attention to linguistic forms in the input that they have not yet acquired.</w:t>
      </w:r>
    </w:p>
    <w:p w14:paraId="29BEBEFD" w14:textId="5F582CBA"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Schmitt (2008) also argues that incidental learning </w:t>
      </w:r>
      <w:proofErr w:type="gramStart"/>
      <w:r w:rsidRPr="00A6527F">
        <w:rPr>
          <w:rFonts w:eastAsia="Calibri" w:cs="Times New Roman"/>
          <w:color w:val="1F3864" w:themeColor="accent5" w:themeShade="80"/>
          <w:sz w:val="22"/>
          <w:szCs w:val="22"/>
          <w:lang w:eastAsia="en-US"/>
        </w:rPr>
        <w:t>can be improved</w:t>
      </w:r>
      <w:proofErr w:type="gramEnd"/>
      <w:r w:rsidRPr="00A6527F">
        <w:rPr>
          <w:rFonts w:eastAsia="Calibri" w:cs="Times New Roman"/>
          <w:color w:val="1F3864" w:themeColor="accent5" w:themeShade="80"/>
          <w:sz w:val="22"/>
          <w:szCs w:val="22"/>
          <w:lang w:eastAsia="en-US"/>
        </w:rPr>
        <w:t xml:space="preserve"> if learners are taught to become more accurate and effective in working out the meaning of unknown words from context, rather than just guessing wildly. In addition, for improved incidental learning there has to be mental and motivational ‘involvement’ (Huang, </w:t>
      </w:r>
      <w:proofErr w:type="spellStart"/>
      <w:r w:rsidRPr="00A6527F">
        <w:rPr>
          <w:rFonts w:eastAsia="Calibri" w:cs="Times New Roman"/>
          <w:color w:val="1F3864" w:themeColor="accent5" w:themeShade="80"/>
          <w:sz w:val="22"/>
          <w:szCs w:val="22"/>
          <w:lang w:eastAsia="en-US"/>
        </w:rPr>
        <w:t>Willson</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Eslami</w:t>
      </w:r>
      <w:proofErr w:type="spellEnd"/>
      <w:r w:rsidRPr="00A6527F">
        <w:rPr>
          <w:rFonts w:eastAsia="Calibri" w:cs="Times New Roman"/>
          <w:color w:val="1F3864" w:themeColor="accent5" w:themeShade="80"/>
          <w:sz w:val="22"/>
          <w:szCs w:val="22"/>
          <w:lang w:eastAsia="en-US"/>
        </w:rPr>
        <w:t xml:space="preserve">, 2012; </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xml:space="preserve">, 2001) with </w:t>
      </w:r>
      <w:r w:rsidR="00302BA3" w:rsidRPr="00A6527F">
        <w:rPr>
          <w:rFonts w:eastAsia="Calibri" w:cs="Times New Roman"/>
          <w:color w:val="1F3864" w:themeColor="accent5" w:themeShade="80"/>
          <w:sz w:val="22"/>
          <w:szCs w:val="22"/>
          <w:lang w:eastAsia="en-US"/>
        </w:rPr>
        <w:t>to the text</w:t>
      </w:r>
      <w:r w:rsidRPr="00A6527F">
        <w:rPr>
          <w:rFonts w:eastAsia="Calibri" w:cs="Times New Roman"/>
          <w:color w:val="1F3864" w:themeColor="accent5" w:themeShade="80"/>
          <w:sz w:val="22"/>
          <w:szCs w:val="22"/>
          <w:lang w:eastAsia="en-US"/>
        </w:rPr>
        <w:t>. We can increase learners’ incidental learning by providing intentional learning tasks that they complete before, during and after reading or listening (</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xml:space="preserve">, 2001). </w:t>
      </w:r>
    </w:p>
    <w:p w14:paraId="15B1BF56" w14:textId="522D541A"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Different activities bring with them different degrees of ‘involvement ‘</w:t>
      </w:r>
      <w:r w:rsidR="00302BA3"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which </w:t>
      </w:r>
      <w:proofErr w:type="gramStart"/>
      <w:r w:rsidRPr="00A6527F">
        <w:rPr>
          <w:rFonts w:eastAsia="Calibri" w:cs="Times New Roman"/>
          <w:color w:val="1F3864" w:themeColor="accent5" w:themeShade="80"/>
          <w:sz w:val="22"/>
          <w:szCs w:val="22"/>
          <w:lang w:eastAsia="en-US"/>
        </w:rPr>
        <w:t>are influenced</w:t>
      </w:r>
      <w:proofErr w:type="gramEnd"/>
      <w:r w:rsidRPr="00A6527F">
        <w:rPr>
          <w:rFonts w:eastAsia="Calibri" w:cs="Times New Roman"/>
          <w:color w:val="1F3864" w:themeColor="accent5" w:themeShade="80"/>
          <w:sz w:val="22"/>
          <w:szCs w:val="22"/>
          <w:lang w:eastAsia="en-US"/>
        </w:rPr>
        <w:t xml:space="preserve"> by three main factors: </w:t>
      </w:r>
      <w:r w:rsidRPr="00A6527F">
        <w:rPr>
          <w:rFonts w:eastAsia="Calibri" w:cs="Times New Roman"/>
          <w:b/>
          <w:bCs/>
          <w:i/>
          <w:iCs/>
          <w:color w:val="1F3864" w:themeColor="accent5" w:themeShade="80"/>
          <w:sz w:val="22"/>
          <w:szCs w:val="22"/>
          <w:lang w:eastAsia="en-US"/>
        </w:rPr>
        <w:t xml:space="preserve">need, search, evaluation </w:t>
      </w:r>
      <w:r w:rsidRPr="00A6527F">
        <w:rPr>
          <w:rFonts w:eastAsia="Calibri" w:cs="Times New Roman"/>
          <w:color w:val="1F3864" w:themeColor="accent5" w:themeShade="80"/>
          <w:sz w:val="22"/>
          <w:szCs w:val="22"/>
          <w:lang w:eastAsia="en-US"/>
        </w:rPr>
        <w:t>(</w:t>
      </w:r>
      <w:proofErr w:type="spellStart"/>
      <w:r w:rsidRPr="00A6527F">
        <w:rPr>
          <w:rFonts w:eastAsia="Calibri" w:cs="Times New Roman"/>
          <w:color w:val="1F3864" w:themeColor="accent5" w:themeShade="80"/>
          <w:sz w:val="22"/>
          <w:szCs w:val="22"/>
          <w:lang w:eastAsia="en-US"/>
        </w:rPr>
        <w:t>Laufer</w:t>
      </w:r>
      <w:proofErr w:type="spellEnd"/>
      <w:r w:rsidRPr="00A6527F">
        <w:rPr>
          <w:rFonts w:eastAsia="Calibri" w:cs="Times New Roman"/>
          <w:color w:val="1F3864" w:themeColor="accent5" w:themeShade="80"/>
          <w:sz w:val="22"/>
          <w:szCs w:val="22"/>
          <w:lang w:eastAsia="en-US"/>
        </w:rPr>
        <w:t xml:space="preserve"> &amp; </w:t>
      </w:r>
      <w:proofErr w:type="spellStart"/>
      <w:r w:rsidRPr="00A6527F">
        <w:rPr>
          <w:rFonts w:eastAsia="Calibri" w:cs="Times New Roman"/>
          <w:color w:val="1F3864" w:themeColor="accent5" w:themeShade="80"/>
          <w:sz w:val="22"/>
          <w:szCs w:val="22"/>
          <w:lang w:eastAsia="en-US"/>
        </w:rPr>
        <w:t>Hulstijn</w:t>
      </w:r>
      <w:proofErr w:type="spellEnd"/>
      <w:r w:rsidRPr="00A6527F">
        <w:rPr>
          <w:rFonts w:eastAsia="Calibri" w:cs="Times New Roman"/>
          <w:color w:val="1F3864" w:themeColor="accent5" w:themeShade="80"/>
          <w:sz w:val="22"/>
          <w:szCs w:val="22"/>
          <w:lang w:eastAsia="en-US"/>
        </w:rPr>
        <w:t>, 2001)</w:t>
      </w:r>
      <w:r w:rsidRPr="00A6527F">
        <w:rPr>
          <w:rFonts w:eastAsia="Calibri" w:cs="Times New Roman"/>
          <w:i/>
          <w:iCs/>
          <w:color w:val="1F3864" w:themeColor="accent5" w:themeShade="80"/>
          <w:sz w:val="22"/>
          <w:szCs w:val="22"/>
          <w:lang w:eastAsia="en-US"/>
        </w:rPr>
        <w:t>:</w:t>
      </w:r>
    </w:p>
    <w:p w14:paraId="066335D3" w14:textId="44BBFEBA"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i/>
          <w:iCs/>
          <w:color w:val="1F3864" w:themeColor="accent5" w:themeShade="80"/>
          <w:sz w:val="22"/>
          <w:szCs w:val="22"/>
          <w:lang w:eastAsia="en-US"/>
        </w:rPr>
        <w:t xml:space="preserve">Need </w:t>
      </w:r>
      <w:r w:rsidRPr="00A6527F">
        <w:rPr>
          <w:rFonts w:eastAsia="Calibri" w:cs="Times New Roman"/>
          <w:bCs/>
          <w:i/>
          <w:iCs/>
          <w:color w:val="1F3864" w:themeColor="accent5" w:themeShade="80"/>
          <w:sz w:val="22"/>
          <w:szCs w:val="22"/>
          <w:lang w:eastAsia="en-US"/>
        </w:rPr>
        <w:t>–</w:t>
      </w:r>
      <w:r w:rsidR="00DD79EA" w:rsidRPr="00A6527F">
        <w:rPr>
          <w:rFonts w:eastAsia="Calibri" w:cs="Times New Roman"/>
          <w:bCs/>
          <w:i/>
          <w:iCs/>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how necessary is it to know this word to complete the task? How much does the learner ‘need’ to do the task?  </w:t>
      </w:r>
      <w:r w:rsidR="00302BA3" w:rsidRPr="00A6527F">
        <w:rPr>
          <w:rFonts w:eastAsia="Calibri" w:cs="Times New Roman"/>
          <w:color w:val="1F3864" w:themeColor="accent5" w:themeShade="80"/>
          <w:sz w:val="22"/>
          <w:szCs w:val="22"/>
          <w:lang w:eastAsia="en-US"/>
        </w:rPr>
        <w:t>N</w:t>
      </w:r>
      <w:r w:rsidRPr="00A6527F">
        <w:rPr>
          <w:rFonts w:eastAsia="Calibri" w:cs="Times New Roman"/>
          <w:color w:val="1F3864" w:themeColor="accent5" w:themeShade="80"/>
          <w:sz w:val="22"/>
          <w:szCs w:val="22"/>
          <w:lang w:eastAsia="en-US"/>
        </w:rPr>
        <w:t xml:space="preserve">eed is lower when it is imposed by someone other than the learner (e.g. the teacher); it is higher when learners have a choice regarding the task and are intrinsically motivated.  This includes having materials that they have a genuine desire to read or listen </w:t>
      </w:r>
      <w:proofErr w:type="gramStart"/>
      <w:r w:rsidRPr="00A6527F">
        <w:rPr>
          <w:rFonts w:eastAsia="Calibri" w:cs="Times New Roman"/>
          <w:color w:val="1F3864" w:themeColor="accent5" w:themeShade="80"/>
          <w:sz w:val="22"/>
          <w:szCs w:val="22"/>
          <w:lang w:eastAsia="en-US"/>
        </w:rPr>
        <w:t>to</w:t>
      </w:r>
      <w:proofErr w:type="gramEnd"/>
      <w:r w:rsidRPr="00A6527F">
        <w:rPr>
          <w:rFonts w:eastAsia="Calibri" w:cs="Times New Roman"/>
          <w:color w:val="1F3864" w:themeColor="accent5" w:themeShade="80"/>
          <w:sz w:val="22"/>
          <w:szCs w:val="22"/>
          <w:lang w:eastAsia="en-US"/>
        </w:rPr>
        <w:t>.</w:t>
      </w:r>
      <w:r w:rsidRPr="00A6527F">
        <w:rPr>
          <w:rFonts w:eastAsia="Calibri" w:cs="Arial"/>
          <w:color w:val="1F3864" w:themeColor="accent5" w:themeShade="80"/>
          <w:sz w:val="22"/>
          <w:szCs w:val="22"/>
          <w:shd w:val="clear" w:color="auto" w:fill="FFFFFF"/>
          <w:lang w:eastAsia="en-US"/>
        </w:rPr>
        <w:t xml:space="preserve"> </w:t>
      </w:r>
      <w:r w:rsidR="00C220AB" w:rsidRPr="00A6527F">
        <w:rPr>
          <w:rFonts w:eastAsia="Calibri" w:cs="Arial"/>
          <w:color w:val="1F3864" w:themeColor="accent5" w:themeShade="80"/>
          <w:sz w:val="22"/>
          <w:szCs w:val="22"/>
          <w:shd w:val="clear" w:color="auto" w:fill="FFFFFF"/>
          <w:lang w:eastAsia="en-US"/>
        </w:rPr>
        <w:t xml:space="preserve">Recall </w:t>
      </w:r>
      <w:r w:rsidR="00DD79EA" w:rsidRPr="00A6527F">
        <w:rPr>
          <w:rFonts w:eastAsia="Calibri" w:cs="Arial"/>
          <w:color w:val="1F3864" w:themeColor="accent5" w:themeShade="80"/>
          <w:sz w:val="22"/>
          <w:szCs w:val="22"/>
          <w:shd w:val="clear" w:color="auto" w:fill="FFFFFF"/>
          <w:lang w:eastAsia="en-US"/>
        </w:rPr>
        <w:t xml:space="preserve">also </w:t>
      </w:r>
      <w:r w:rsidR="00C220AB" w:rsidRPr="00A6527F">
        <w:rPr>
          <w:rFonts w:eastAsia="Calibri" w:cs="Arial"/>
          <w:color w:val="1F3864" w:themeColor="accent5" w:themeShade="80"/>
          <w:sz w:val="22"/>
          <w:szCs w:val="22"/>
          <w:shd w:val="clear" w:color="auto" w:fill="FFFFFF"/>
          <w:lang w:eastAsia="en-US"/>
        </w:rPr>
        <w:t xml:space="preserve">from previous CPD the idea of </w:t>
      </w:r>
      <w:r w:rsidR="00DD79EA" w:rsidRPr="00A6527F">
        <w:rPr>
          <w:rFonts w:eastAsia="Calibri" w:cs="Arial"/>
          <w:color w:val="1F3864" w:themeColor="accent5" w:themeShade="80"/>
          <w:sz w:val="22"/>
          <w:szCs w:val="22"/>
          <w:shd w:val="clear" w:color="auto" w:fill="FFFFFF"/>
          <w:lang w:eastAsia="en-US"/>
        </w:rPr>
        <w:t xml:space="preserve">language being </w:t>
      </w:r>
      <w:r w:rsidR="00C220AB" w:rsidRPr="00A6527F">
        <w:rPr>
          <w:rFonts w:eastAsia="Calibri" w:cs="Arial"/>
          <w:color w:val="1F3864" w:themeColor="accent5" w:themeShade="80"/>
          <w:sz w:val="22"/>
          <w:szCs w:val="22"/>
          <w:shd w:val="clear" w:color="auto" w:fill="FFFFFF"/>
          <w:lang w:eastAsia="en-US"/>
        </w:rPr>
        <w:t>‘task essential’.</w:t>
      </w:r>
    </w:p>
    <w:p w14:paraId="2714A02B" w14:textId="7AFA0A48"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 xml:space="preserve">Search </w:t>
      </w:r>
      <w:r w:rsidRPr="00A6527F">
        <w:rPr>
          <w:rFonts w:eastAsia="Calibri" w:cs="Times New Roman"/>
          <w:color w:val="1F3864" w:themeColor="accent5" w:themeShade="80"/>
          <w:sz w:val="22"/>
          <w:szCs w:val="22"/>
          <w:lang w:eastAsia="en-US"/>
        </w:rPr>
        <w:t xml:space="preserve">– how hard does the learner have to work to discover the meaning of the word? Finding a word’s meaning with relatively little effort by looking at a word glossary at the side of a text has a lower degree of involvement than working out the </w:t>
      </w:r>
      <w:proofErr w:type="gramStart"/>
      <w:r w:rsidRPr="00A6527F">
        <w:rPr>
          <w:rFonts w:eastAsia="Calibri" w:cs="Times New Roman"/>
          <w:color w:val="1F3864" w:themeColor="accent5" w:themeShade="80"/>
          <w:sz w:val="22"/>
          <w:szCs w:val="22"/>
          <w:lang w:eastAsia="en-US"/>
        </w:rPr>
        <w:t>word’s</w:t>
      </w:r>
      <w:proofErr w:type="gramEnd"/>
      <w:r w:rsidRPr="00A6527F">
        <w:rPr>
          <w:rFonts w:eastAsia="Calibri" w:cs="Times New Roman"/>
          <w:color w:val="1F3864" w:themeColor="accent5" w:themeShade="80"/>
          <w:sz w:val="22"/>
          <w:szCs w:val="22"/>
          <w:lang w:eastAsia="en-US"/>
        </w:rPr>
        <w:t xml:space="preserve"> meaning by looking at </w:t>
      </w:r>
      <w:r w:rsidRPr="00A6527F">
        <w:rPr>
          <w:rFonts w:eastAsia="Calibri" w:cs="Times New Roman"/>
          <w:color w:val="1F3864" w:themeColor="accent5" w:themeShade="80"/>
          <w:sz w:val="22"/>
          <w:szCs w:val="22"/>
          <w:lang w:eastAsia="en-US"/>
        </w:rPr>
        <w:lastRenderedPageBreak/>
        <w:t>those that surround it in a sentence.</w:t>
      </w:r>
      <w:r w:rsidR="00C220AB" w:rsidRPr="00A6527F">
        <w:rPr>
          <w:rFonts w:eastAsia="Calibri" w:cs="Times New Roman"/>
          <w:color w:val="1F3864" w:themeColor="accent5" w:themeShade="80"/>
          <w:sz w:val="22"/>
          <w:szCs w:val="22"/>
          <w:lang w:eastAsia="en-US"/>
        </w:rPr>
        <w:t xml:space="preserve">  </w:t>
      </w:r>
      <w:r w:rsidR="00C220AB" w:rsidRPr="00A6527F">
        <w:rPr>
          <w:rFonts w:eastAsia="Calibri" w:cs="Arial"/>
          <w:color w:val="1F3864" w:themeColor="accent5" w:themeShade="80"/>
          <w:sz w:val="22"/>
          <w:szCs w:val="22"/>
          <w:shd w:val="clear" w:color="auto" w:fill="FFFFFF"/>
          <w:lang w:eastAsia="en-US"/>
        </w:rPr>
        <w:t>Recall from previous CPD the idea of ‘desirable difficulty/challenge’.</w:t>
      </w:r>
    </w:p>
    <w:p w14:paraId="5D515428" w14:textId="2AEFCD22" w:rsidR="00677651" w:rsidRPr="00A6527F" w:rsidRDefault="00677651" w:rsidP="00DD79EA">
      <w:pPr>
        <w:numPr>
          <w:ilvl w:val="0"/>
          <w:numId w:val="6"/>
        </w:numPr>
        <w:rPr>
          <w:rFonts w:eastAsia="Calibri" w:cs="Times New Roman"/>
          <w:color w:val="1F3864" w:themeColor="accent5" w:themeShade="80"/>
          <w:sz w:val="22"/>
          <w:szCs w:val="22"/>
          <w:lang w:eastAsia="en-US"/>
        </w:rPr>
      </w:pPr>
      <w:r w:rsidRPr="00A6527F">
        <w:rPr>
          <w:rFonts w:eastAsia="Calibri" w:cs="Times New Roman"/>
          <w:b/>
          <w:bCs/>
          <w:color w:val="1F3864" w:themeColor="accent5" w:themeShade="80"/>
          <w:sz w:val="22"/>
          <w:szCs w:val="22"/>
          <w:lang w:eastAsia="en-US"/>
        </w:rPr>
        <w:t>Evaluate</w:t>
      </w:r>
      <w:r w:rsidRPr="00A6527F">
        <w:rPr>
          <w:rFonts w:eastAsia="Calibri" w:cs="Times New Roman"/>
          <w:color w:val="1F3864" w:themeColor="accent5" w:themeShade="80"/>
          <w:sz w:val="22"/>
          <w:szCs w:val="22"/>
          <w:lang w:eastAsia="en-US"/>
        </w:rPr>
        <w:t xml:space="preserve"> – how much does the learner have to think about how to use a word in different contexts, about different aspects of its meaning, about whether it is the best word to use, and so forth?  Higher levels of evaluation come from tasks that involve some form of output from learners, where they have to select certain words rather than others and combine them.</w:t>
      </w:r>
      <w:r w:rsidR="00C220AB" w:rsidRPr="00A6527F">
        <w:rPr>
          <w:rFonts w:eastAsia="Calibri" w:cs="Times New Roman"/>
          <w:color w:val="1F3864" w:themeColor="accent5" w:themeShade="80"/>
          <w:sz w:val="22"/>
          <w:szCs w:val="22"/>
          <w:lang w:eastAsia="en-US"/>
        </w:rPr>
        <w:t xml:space="preserve"> </w:t>
      </w:r>
      <w:r w:rsidR="00C220AB" w:rsidRPr="00A6527F">
        <w:rPr>
          <w:rFonts w:eastAsia="Calibri" w:cs="Arial"/>
          <w:color w:val="1F3864" w:themeColor="accent5" w:themeShade="80"/>
          <w:sz w:val="22"/>
          <w:szCs w:val="22"/>
          <w:shd w:val="clear" w:color="auto" w:fill="FFFFFF"/>
          <w:lang w:eastAsia="en-US"/>
        </w:rPr>
        <w:t>Recall from previous CPD the importance of ‘multiple word encounters’.</w:t>
      </w:r>
    </w:p>
    <w:p w14:paraId="3A976687" w14:textId="7B27F1C5"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Increasing the evaluation element has been found to be particularly important to increase vocabulary </w:t>
      </w:r>
      <w:proofErr w:type="gramStart"/>
      <w:r w:rsidRPr="00A6527F">
        <w:rPr>
          <w:rFonts w:eastAsia="Calibri" w:cs="Times New Roman"/>
          <w:color w:val="1F3864" w:themeColor="accent5" w:themeShade="80"/>
          <w:sz w:val="22"/>
          <w:szCs w:val="22"/>
          <w:lang w:eastAsia="en-US"/>
        </w:rPr>
        <w:t>learning</w:t>
      </w:r>
      <w:proofErr w:type="gramEnd"/>
      <w:r w:rsidR="00DD79EA" w:rsidRP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(Huang et al., 2012).</w:t>
      </w:r>
    </w:p>
    <w:p w14:paraId="5D4515D8" w14:textId="16FB99F3" w:rsidR="00677651" w:rsidRPr="00A6527F" w:rsidRDefault="00677651" w:rsidP="00677651">
      <w:pPr>
        <w:rPr>
          <w:rFonts w:eastAsia="Calibri" w:cs="Times New Roman"/>
          <w:color w:val="1F3864" w:themeColor="accent5" w:themeShade="80"/>
          <w:sz w:val="22"/>
          <w:szCs w:val="22"/>
          <w:lang w:eastAsia="en-US"/>
        </w:rPr>
      </w:pPr>
      <w:proofErr w:type="gramStart"/>
      <w:r w:rsidRPr="00A6527F">
        <w:rPr>
          <w:rFonts w:eastAsia="Calibri" w:cs="Times New Roman"/>
          <w:color w:val="1F3864" w:themeColor="accent5" w:themeShade="80"/>
          <w:sz w:val="22"/>
          <w:szCs w:val="22"/>
          <w:lang w:eastAsia="en-US"/>
        </w:rPr>
        <w:t>Text book</w:t>
      </w:r>
      <w:proofErr w:type="gramEnd"/>
      <w:r w:rsidRPr="00A6527F">
        <w:rPr>
          <w:rFonts w:eastAsia="Calibri" w:cs="Times New Roman"/>
          <w:color w:val="1F3864" w:themeColor="accent5" w:themeShade="80"/>
          <w:sz w:val="22"/>
          <w:szCs w:val="22"/>
          <w:lang w:eastAsia="en-US"/>
        </w:rPr>
        <w:t xml:space="preserve"> reading tasks that are accompanied by comprehension questions that can be answered by just finding a few key words tend to have lower levels of involvement load and hence are likely to lead to less learning.   Here are further examples of different levels of ‘involvement load’</w:t>
      </w:r>
      <w:r w:rsidR="00C220AB" w:rsidRPr="00A6527F">
        <w:rPr>
          <w:rFonts w:eastAsia="Calibri" w:cs="Times New Roman"/>
          <w:color w:val="1F3864" w:themeColor="accent5" w:themeShade="80"/>
          <w:sz w:val="22"/>
          <w:szCs w:val="22"/>
          <w:lang w:eastAsia="en-US"/>
        </w:rPr>
        <w:t>:</w:t>
      </w:r>
    </w:p>
    <w:tbl>
      <w:tblPr>
        <w:tblStyle w:val="TableGrid1"/>
        <w:tblW w:w="10862" w:type="dxa"/>
        <w:tblLook w:val="04A0" w:firstRow="1" w:lastRow="0" w:firstColumn="1" w:lastColumn="0" w:noHBand="0" w:noVBand="1"/>
        <w:tblDescription w:val="containing information comparing different learner's load abilities "/>
      </w:tblPr>
      <w:tblGrid>
        <w:gridCol w:w="1569"/>
        <w:gridCol w:w="3433"/>
        <w:gridCol w:w="5860"/>
      </w:tblGrid>
      <w:tr w:rsidR="00A6527F" w:rsidRPr="00A6527F" w14:paraId="12BC5501" w14:textId="77777777" w:rsidTr="00E770F9">
        <w:trPr>
          <w:trHeight w:val="342"/>
          <w:tblHeader/>
        </w:trPr>
        <w:tc>
          <w:tcPr>
            <w:tcW w:w="1569" w:type="dxa"/>
          </w:tcPr>
          <w:p w14:paraId="3E63E047" w14:textId="77777777" w:rsidR="00677651" w:rsidRPr="00A6527F" w:rsidRDefault="00677651" w:rsidP="00677651">
            <w:pPr>
              <w:spacing w:after="160" w:line="259" w:lineRule="auto"/>
              <w:rPr>
                <w:rFonts w:ascii="Century Gothic" w:hAnsi="Century Gothic" w:cs="Times New Roman"/>
                <w:color w:val="1F3864" w:themeColor="accent5" w:themeShade="80"/>
              </w:rPr>
            </w:pPr>
          </w:p>
        </w:tc>
        <w:tc>
          <w:tcPr>
            <w:tcW w:w="3433" w:type="dxa"/>
          </w:tcPr>
          <w:p w14:paraId="189FD159"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Lower load</w:t>
            </w:r>
          </w:p>
        </w:tc>
        <w:tc>
          <w:tcPr>
            <w:tcW w:w="5860" w:type="dxa"/>
          </w:tcPr>
          <w:p w14:paraId="462EF6BC"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Higher load</w:t>
            </w:r>
          </w:p>
        </w:tc>
      </w:tr>
      <w:tr w:rsidR="00A6527F" w:rsidRPr="00A6527F" w14:paraId="5B6233BC" w14:textId="77777777" w:rsidTr="00D63DC1">
        <w:trPr>
          <w:trHeight w:val="566"/>
        </w:trPr>
        <w:tc>
          <w:tcPr>
            <w:tcW w:w="1569" w:type="dxa"/>
          </w:tcPr>
          <w:p w14:paraId="5E15BE82"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Need</w:t>
            </w:r>
          </w:p>
        </w:tc>
        <w:tc>
          <w:tcPr>
            <w:tcW w:w="3433" w:type="dxa"/>
          </w:tcPr>
          <w:p w14:paraId="033A7572" w14:textId="0CA6BEB3" w:rsidR="00677651" w:rsidRPr="00A6527F" w:rsidRDefault="00DD79EA" w:rsidP="0024742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w:t>
            </w:r>
            <w:r w:rsidR="00677651" w:rsidRPr="00A6527F">
              <w:rPr>
                <w:rFonts w:ascii="Century Gothic" w:hAnsi="Century Gothic" w:cs="Times New Roman"/>
                <w:color w:val="1F3864" w:themeColor="accent5" w:themeShade="80"/>
              </w:rPr>
              <w:t xml:space="preserve">earners </w:t>
            </w:r>
            <w:r w:rsidRPr="00A6527F">
              <w:rPr>
                <w:rFonts w:ascii="Century Gothic" w:hAnsi="Century Gothic" w:cs="Times New Roman"/>
                <w:color w:val="1F3864" w:themeColor="accent5" w:themeShade="80"/>
              </w:rPr>
              <w:t>use a writing frame to create</w:t>
            </w:r>
            <w:r w:rsidR="00247421" w:rsidRPr="00A6527F">
              <w:rPr>
                <w:rFonts w:ascii="Century Gothic" w:hAnsi="Century Gothic" w:cs="Times New Roman"/>
                <w:color w:val="1F3864" w:themeColor="accent5" w:themeShade="80"/>
              </w:rPr>
              <w:t xml:space="preserve"> an interview. The support provided makes it possible to complete the task without engaging with the meaning of the words.</w:t>
            </w:r>
          </w:p>
        </w:tc>
        <w:tc>
          <w:tcPr>
            <w:tcW w:w="5860" w:type="dxa"/>
          </w:tcPr>
          <w:p w14:paraId="74B83F52" w14:textId="05CDA930" w:rsidR="00677651" w:rsidRPr="00A6527F" w:rsidRDefault="00677651" w:rsidP="0024742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script an interview with the main character in a text, choosing which questions to ask</w:t>
            </w:r>
            <w:r w:rsidR="00247421" w:rsidRPr="00A6527F">
              <w:rPr>
                <w:rFonts w:ascii="Century Gothic" w:hAnsi="Century Gothic" w:cs="Times New Roman"/>
                <w:color w:val="1F3864" w:themeColor="accent5" w:themeShade="80"/>
              </w:rPr>
              <w:t>, and imagining how the character will answer, based on their reading of the original text and their knowledge of the writer</w:t>
            </w:r>
            <w:r w:rsidRPr="00A6527F">
              <w:rPr>
                <w:rFonts w:ascii="Century Gothic" w:hAnsi="Century Gothic" w:cs="Times New Roman"/>
                <w:color w:val="1F3864" w:themeColor="accent5" w:themeShade="80"/>
              </w:rPr>
              <w:t>.</w:t>
            </w:r>
          </w:p>
        </w:tc>
      </w:tr>
      <w:tr w:rsidR="00A6527F" w:rsidRPr="00A6527F" w14:paraId="73652185" w14:textId="77777777" w:rsidTr="00D63DC1">
        <w:trPr>
          <w:trHeight w:val="804"/>
        </w:trPr>
        <w:tc>
          <w:tcPr>
            <w:tcW w:w="1569" w:type="dxa"/>
          </w:tcPr>
          <w:p w14:paraId="6167A94F"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Search</w:t>
            </w:r>
          </w:p>
        </w:tc>
        <w:tc>
          <w:tcPr>
            <w:tcW w:w="3433" w:type="dxa"/>
          </w:tcPr>
          <w:p w14:paraId="60D718C2" w14:textId="6D0C8067"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 xml:space="preserve">Learners </w:t>
            </w:r>
            <w:r w:rsidR="00DD79EA" w:rsidRPr="00A6527F">
              <w:rPr>
                <w:rFonts w:ascii="Century Gothic" w:hAnsi="Century Gothic"/>
                <w:color w:val="1F3864" w:themeColor="accent5" w:themeShade="80"/>
              </w:rPr>
              <w:t xml:space="preserve">complete a task where all potentially unknown words </w:t>
            </w:r>
            <w:proofErr w:type="gramStart"/>
            <w:r w:rsidR="00DD79EA" w:rsidRPr="00A6527F">
              <w:rPr>
                <w:rFonts w:ascii="Century Gothic" w:hAnsi="Century Gothic"/>
                <w:color w:val="1F3864" w:themeColor="accent5" w:themeShade="80"/>
              </w:rPr>
              <w:t>have been provided</w:t>
            </w:r>
            <w:proofErr w:type="gramEnd"/>
            <w:r w:rsidR="00DD79EA" w:rsidRPr="00A6527F">
              <w:rPr>
                <w:rFonts w:ascii="Century Gothic" w:hAnsi="Century Gothic"/>
                <w:color w:val="1F3864" w:themeColor="accent5" w:themeShade="80"/>
              </w:rPr>
              <w:t xml:space="preserve"> in a glossary.</w:t>
            </w:r>
          </w:p>
        </w:tc>
        <w:tc>
          <w:tcPr>
            <w:tcW w:w="5860" w:type="dxa"/>
          </w:tcPr>
          <w:p w14:paraId="36DDBB3F" w14:textId="379BD5A0" w:rsidR="00677651" w:rsidRPr="00A6527F" w:rsidRDefault="00677651" w:rsidP="0007508D">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 xml:space="preserve">Learners have to read further on in the text to </w:t>
            </w:r>
            <w:r w:rsidR="0007508D" w:rsidRPr="00A6527F">
              <w:rPr>
                <w:rFonts w:ascii="Century Gothic" w:hAnsi="Century Gothic" w:cs="Times New Roman"/>
                <w:color w:val="1F3864" w:themeColor="accent5" w:themeShade="80"/>
              </w:rPr>
              <w:t xml:space="preserve">hypothesise </w:t>
            </w:r>
            <w:r w:rsidRPr="00A6527F">
              <w:rPr>
                <w:rFonts w:ascii="Century Gothic" w:hAnsi="Century Gothic" w:cs="Times New Roman"/>
                <w:color w:val="1F3864" w:themeColor="accent5" w:themeShade="80"/>
              </w:rPr>
              <w:t xml:space="preserve">the meaning of </w:t>
            </w:r>
            <w:r w:rsidR="0007508D" w:rsidRPr="00A6527F">
              <w:rPr>
                <w:rFonts w:ascii="Century Gothic" w:hAnsi="Century Gothic" w:cs="Times New Roman"/>
                <w:color w:val="1F3864" w:themeColor="accent5" w:themeShade="80"/>
              </w:rPr>
              <w:t xml:space="preserve">an unknown </w:t>
            </w:r>
            <w:r w:rsidRPr="00A6527F">
              <w:rPr>
                <w:rFonts w:ascii="Century Gothic" w:hAnsi="Century Gothic" w:cs="Times New Roman"/>
                <w:color w:val="1F3864" w:themeColor="accent5" w:themeShade="80"/>
              </w:rPr>
              <w:t>word, then go back to it and substitute that meaning in to check if it makes sense.</w:t>
            </w:r>
          </w:p>
        </w:tc>
      </w:tr>
      <w:tr w:rsidR="00C220AB" w:rsidRPr="00A6527F" w14:paraId="3FCE7B6E" w14:textId="77777777" w:rsidTr="00D63DC1">
        <w:trPr>
          <w:trHeight w:val="1168"/>
        </w:trPr>
        <w:tc>
          <w:tcPr>
            <w:tcW w:w="1569" w:type="dxa"/>
          </w:tcPr>
          <w:p w14:paraId="09C3F005" w14:textId="77777777" w:rsidR="00677651" w:rsidRPr="00A6527F" w:rsidRDefault="00677651" w:rsidP="00677651">
            <w:pPr>
              <w:spacing w:after="160" w:line="259" w:lineRule="auto"/>
              <w:rPr>
                <w:rFonts w:ascii="Century Gothic" w:hAnsi="Century Gothic" w:cs="Times New Roman"/>
                <w:b/>
                <w:bCs/>
                <w:color w:val="1F3864" w:themeColor="accent5" w:themeShade="80"/>
              </w:rPr>
            </w:pPr>
            <w:r w:rsidRPr="00A6527F">
              <w:rPr>
                <w:rFonts w:ascii="Century Gothic" w:hAnsi="Century Gothic" w:cs="Times New Roman"/>
                <w:b/>
                <w:bCs/>
                <w:color w:val="1F3864" w:themeColor="accent5" w:themeShade="80"/>
              </w:rPr>
              <w:t>Evaluate</w:t>
            </w:r>
          </w:p>
        </w:tc>
        <w:tc>
          <w:tcPr>
            <w:tcW w:w="3433" w:type="dxa"/>
          </w:tcPr>
          <w:p w14:paraId="3EF1D1DB" w14:textId="18B86FAC"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complete a gap-fill using certain words they are given. They have to decide which word goes where.</w:t>
            </w:r>
          </w:p>
        </w:tc>
        <w:tc>
          <w:tcPr>
            <w:tcW w:w="5860" w:type="dxa"/>
          </w:tcPr>
          <w:p w14:paraId="6029D49D" w14:textId="061E97AF" w:rsidR="00677651" w:rsidRPr="00A6527F" w:rsidRDefault="00677651" w:rsidP="00677651">
            <w:pPr>
              <w:spacing w:after="160" w:line="259" w:lineRule="auto"/>
              <w:rPr>
                <w:rFonts w:ascii="Century Gothic" w:hAnsi="Century Gothic" w:cs="Times New Roman"/>
                <w:color w:val="1F3864" w:themeColor="accent5" w:themeShade="80"/>
              </w:rPr>
            </w:pPr>
            <w:r w:rsidRPr="00A6527F">
              <w:rPr>
                <w:rFonts w:ascii="Century Gothic" w:hAnsi="Century Gothic" w:cs="Times New Roman"/>
                <w:color w:val="1F3864" w:themeColor="accent5" w:themeShade="80"/>
              </w:rPr>
              <w:t>Learners have to write their own sentences using words in the text. They have to decide how to combine them with other words they have met elsewhere.</w:t>
            </w:r>
          </w:p>
        </w:tc>
      </w:tr>
    </w:tbl>
    <w:p w14:paraId="6E8D56FF" w14:textId="77777777" w:rsidR="00677651" w:rsidRPr="00A6527F" w:rsidRDefault="00677651" w:rsidP="00677651">
      <w:pPr>
        <w:rPr>
          <w:rFonts w:eastAsia="Calibri" w:cs="Times New Roman"/>
          <w:i/>
          <w:iCs/>
          <w:color w:val="1F3864" w:themeColor="accent5" w:themeShade="80"/>
          <w:sz w:val="22"/>
          <w:szCs w:val="22"/>
          <w:lang w:eastAsia="en-US"/>
        </w:rPr>
      </w:pPr>
    </w:p>
    <w:p w14:paraId="3F4F7105" w14:textId="0FDCE8FF" w:rsidR="00677651" w:rsidRPr="00A6527F" w:rsidRDefault="002F067A" w:rsidP="002F067A">
      <w:pPr>
        <w:pStyle w:val="Heading2"/>
      </w:pPr>
      <w:r>
        <w:t xml:space="preserve">2.2 </w:t>
      </w:r>
      <w:r w:rsidR="00677651" w:rsidRPr="00A6527F">
        <w:t>Activities that prompt personal, emotional and imaginative responses need to be used alongside a more functional focus on grammar and vocabulary</w:t>
      </w:r>
    </w:p>
    <w:p w14:paraId="65AF945F" w14:textId="109A119B"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An area of debate is whether we should treat literary texts as ‘literature’ </w:t>
      </w:r>
      <w:r w:rsidR="0007508D" w:rsidRPr="00A6527F">
        <w:rPr>
          <w:rFonts w:eastAsia="Calibri" w:cs="Times New Roman"/>
          <w:color w:val="1F3864" w:themeColor="accent5" w:themeShade="80"/>
          <w:sz w:val="22"/>
          <w:szCs w:val="22"/>
          <w:lang w:eastAsia="en-US"/>
        </w:rPr>
        <w:t xml:space="preserve">only </w:t>
      </w:r>
      <w:r w:rsidRPr="00A6527F">
        <w:rPr>
          <w:rFonts w:eastAsia="Calibri" w:cs="Times New Roman"/>
          <w:color w:val="1F3864" w:themeColor="accent5" w:themeShade="80"/>
          <w:sz w:val="22"/>
          <w:szCs w:val="22"/>
          <w:lang w:eastAsia="en-US"/>
        </w:rPr>
        <w:t xml:space="preserve">or as ‘language’ </w:t>
      </w:r>
      <w:r w:rsidR="0007508D" w:rsidRPr="00A6527F">
        <w:rPr>
          <w:rFonts w:eastAsia="Calibri" w:cs="Times New Roman"/>
          <w:color w:val="1F3864" w:themeColor="accent5" w:themeShade="80"/>
          <w:sz w:val="22"/>
          <w:szCs w:val="22"/>
          <w:lang w:eastAsia="en-US"/>
        </w:rPr>
        <w:t xml:space="preserve">only </w:t>
      </w:r>
      <w:r w:rsidRPr="00A6527F">
        <w:rPr>
          <w:rFonts w:eastAsia="Calibri" w:cs="Times New Roman"/>
          <w:color w:val="1F3864" w:themeColor="accent5" w:themeShade="80"/>
          <w:sz w:val="22"/>
          <w:szCs w:val="22"/>
          <w:lang w:eastAsia="en-US"/>
        </w:rPr>
        <w:t>(</w:t>
      </w:r>
      <w:proofErr w:type="spellStart"/>
      <w:r w:rsidRPr="00A6527F">
        <w:rPr>
          <w:rFonts w:eastAsia="Calibri" w:cs="Times New Roman"/>
          <w:color w:val="1F3864" w:themeColor="accent5" w:themeShade="80"/>
          <w:sz w:val="22"/>
          <w:szCs w:val="22"/>
          <w:lang w:eastAsia="en-US"/>
        </w:rPr>
        <w:t>Paran</w:t>
      </w:r>
      <w:proofErr w:type="spellEnd"/>
      <w:r w:rsidRPr="00A6527F">
        <w:rPr>
          <w:rFonts w:eastAsia="Calibri" w:cs="Times New Roman"/>
          <w:color w:val="1F3864" w:themeColor="accent5" w:themeShade="80"/>
          <w:sz w:val="22"/>
          <w:szCs w:val="22"/>
          <w:lang w:eastAsia="en-US"/>
        </w:rPr>
        <w:t>, 2008) – in other words, should we use tasks that encourage a personal emotional and interpretative response from learners, or tasks that use literature principally to exemplify grammatical structures and recycle vocabulary. The same questions apply to other kinds of authentic texts</w:t>
      </w:r>
      <w:r w:rsidR="0007508D"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too.</w:t>
      </w:r>
    </w:p>
    <w:p w14:paraId="1BDBEC43" w14:textId="5EADCA5F"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Recent evidence from Year 9 learners of French and German suggests that different learners need different types of input and tasks, and for the best outcomes, a combination of the two approaches would be most effective (Graham &amp; Fisher, in progress; </w:t>
      </w:r>
      <w:proofErr w:type="spellStart"/>
      <w:r w:rsidRPr="00A6527F">
        <w:rPr>
          <w:rFonts w:eastAsia="Calibri" w:cs="Times New Roman"/>
          <w:color w:val="1F3864" w:themeColor="accent5" w:themeShade="80"/>
          <w:sz w:val="22"/>
          <w:szCs w:val="22"/>
          <w:lang w:eastAsia="en-US"/>
        </w:rPr>
        <w:t>Hofweber</w:t>
      </w:r>
      <w:proofErr w:type="spellEnd"/>
      <w:r w:rsidRPr="00A6527F">
        <w:rPr>
          <w:rFonts w:eastAsia="Calibri" w:cs="Times New Roman"/>
          <w:color w:val="1F3864" w:themeColor="accent5" w:themeShade="80"/>
          <w:sz w:val="22"/>
          <w:szCs w:val="22"/>
          <w:lang w:eastAsia="en-US"/>
        </w:rPr>
        <w:t xml:space="preserve"> &amp; Graham, 2017).   That is, activities that prompt ‘involvement’ by eliciting personal, emotional and imaginative responses </w:t>
      </w:r>
      <w:r w:rsidR="0007508D" w:rsidRPr="00A6527F">
        <w:rPr>
          <w:rFonts w:eastAsia="Calibri" w:cs="Times New Roman"/>
          <w:color w:val="1F3864" w:themeColor="accent5" w:themeShade="80"/>
          <w:sz w:val="22"/>
          <w:szCs w:val="22"/>
          <w:lang w:eastAsia="en-US"/>
        </w:rPr>
        <w:t>can enhance a</w:t>
      </w:r>
      <w:r w:rsidRPr="00A6527F">
        <w:rPr>
          <w:rFonts w:eastAsia="Calibri" w:cs="Times New Roman"/>
          <w:color w:val="1F3864" w:themeColor="accent5" w:themeShade="80"/>
          <w:sz w:val="22"/>
          <w:szCs w:val="22"/>
          <w:lang w:eastAsia="en-US"/>
        </w:rPr>
        <w:t xml:space="preserve"> focus on grammar and vocabulary. Suggestions for activities for personal and emotional engagement appear in Handout 5.  </w:t>
      </w:r>
    </w:p>
    <w:p w14:paraId="5F038175" w14:textId="1890A7DE" w:rsidR="00677651" w:rsidRPr="00A6527F" w:rsidRDefault="002F067A" w:rsidP="002F067A">
      <w:pPr>
        <w:pStyle w:val="Heading2"/>
      </w:pPr>
      <w:r>
        <w:t xml:space="preserve">2.3 </w:t>
      </w:r>
      <w:r w:rsidR="00677651" w:rsidRPr="00A6527F">
        <w:t>Learning to comprehend and developing self-efficacy</w:t>
      </w:r>
    </w:p>
    <w:p w14:paraId="248A4B69" w14:textId="57CC5DF1"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Having a wide vocabulary</w:t>
      </w:r>
      <w:r w:rsidR="0007508D" w:rsidRPr="00A6527F">
        <w:rPr>
          <w:rFonts w:eastAsia="Calibri" w:cs="Times New Roman"/>
          <w:color w:val="1F3864" w:themeColor="accent5" w:themeShade="80"/>
          <w:sz w:val="22"/>
          <w:szCs w:val="22"/>
          <w:lang w:eastAsia="en-US"/>
        </w:rPr>
        <w:t>, secure grammar</w:t>
      </w:r>
      <w:r w:rsid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and knowledge of phonics is very important for comprehension, but understanding </w:t>
      </w:r>
      <w:proofErr w:type="gramStart"/>
      <w:r w:rsidRPr="00A6527F">
        <w:rPr>
          <w:rFonts w:eastAsia="Calibri" w:cs="Times New Roman"/>
          <w:color w:val="1F3864" w:themeColor="accent5" w:themeShade="80"/>
          <w:sz w:val="22"/>
          <w:szCs w:val="22"/>
          <w:lang w:eastAsia="en-US"/>
        </w:rPr>
        <w:t>more challenging texts</w:t>
      </w:r>
      <w:proofErr w:type="gramEnd"/>
      <w:r w:rsidRPr="00A6527F">
        <w:rPr>
          <w:rFonts w:eastAsia="Calibri" w:cs="Times New Roman"/>
          <w:color w:val="1F3864" w:themeColor="accent5" w:themeShade="80"/>
          <w:sz w:val="22"/>
          <w:szCs w:val="22"/>
          <w:lang w:eastAsia="en-US"/>
        </w:rPr>
        <w:t xml:space="preserve"> also involves learners drawing on more general comprehension skills, especially </w:t>
      </w:r>
      <w:r w:rsidR="0007508D" w:rsidRPr="00A6527F">
        <w:rPr>
          <w:rFonts w:eastAsia="Calibri" w:cs="Times New Roman"/>
          <w:color w:val="1F3864" w:themeColor="accent5" w:themeShade="80"/>
          <w:sz w:val="22"/>
          <w:szCs w:val="22"/>
          <w:lang w:eastAsia="en-US"/>
        </w:rPr>
        <w:t>to deal with unknown words</w:t>
      </w:r>
      <w:r w:rsidRPr="00A6527F">
        <w:rPr>
          <w:rFonts w:eastAsia="Calibri" w:cs="Times New Roman"/>
          <w:color w:val="1F3864" w:themeColor="accent5" w:themeShade="80"/>
          <w:sz w:val="22"/>
          <w:szCs w:val="22"/>
          <w:lang w:eastAsia="en-US"/>
        </w:rPr>
        <w:t xml:space="preserve">. Those skills include </w:t>
      </w:r>
      <w:r w:rsidRPr="00A6527F">
        <w:rPr>
          <w:rFonts w:eastAsia="Calibri" w:cs="Times New Roman"/>
          <w:b/>
          <w:bCs/>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the ability to </w:t>
      </w:r>
      <w:r w:rsidRPr="00A6527F">
        <w:rPr>
          <w:rFonts w:eastAsia="Calibri" w:cs="Times New Roman"/>
          <w:color w:val="1F3864" w:themeColor="accent5" w:themeShade="80"/>
          <w:sz w:val="22"/>
          <w:szCs w:val="22"/>
          <w:lang w:eastAsia="en-US"/>
        </w:rPr>
        <w:lastRenderedPageBreak/>
        <w:t>engage in a range of strategic processes while reading more challenging texts (including goal setting, academic inferencing, monitoring) (</w:t>
      </w:r>
      <w:proofErr w:type="spellStart"/>
      <w:r w:rsidRPr="00A6527F">
        <w:rPr>
          <w:rFonts w:eastAsia="Calibri" w:cs="Times New Roman"/>
          <w:color w:val="1F3864" w:themeColor="accent5" w:themeShade="80"/>
          <w:sz w:val="22"/>
          <w:szCs w:val="22"/>
          <w:lang w:eastAsia="en-US"/>
        </w:rPr>
        <w:t>Grabe</w:t>
      </w:r>
      <w:proofErr w:type="spellEnd"/>
      <w:r w:rsidRPr="00A6527F">
        <w:rPr>
          <w:rFonts w:eastAsia="Calibri" w:cs="Times New Roman"/>
          <w:color w:val="1F3864" w:themeColor="accent5" w:themeShade="80"/>
          <w:sz w:val="22"/>
          <w:szCs w:val="22"/>
          <w:lang w:eastAsia="en-US"/>
        </w:rPr>
        <w:t xml:space="preserve"> &amp; Jiang, 2013, p.4).  Working with more challenging texts also requires persistence from learners and a robust sense of self-efficacy (confidence in their ability to understand).  </w:t>
      </w:r>
    </w:p>
    <w:p w14:paraId="687BAFD1" w14:textId="7448C703"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Researchers have investigated whether we can improve comprehension skills through strategy instruction. </w:t>
      </w:r>
      <w:proofErr w:type="gramStart"/>
      <w:r w:rsidR="00A6527F">
        <w:rPr>
          <w:rFonts w:eastAsia="Calibri" w:cs="Times New Roman"/>
          <w:color w:val="1F3864" w:themeColor="accent5" w:themeShade="80"/>
          <w:sz w:val="22"/>
          <w:szCs w:val="22"/>
          <w:lang w:eastAsia="en-US"/>
        </w:rPr>
        <w:t>Reviews of research (</w:t>
      </w:r>
      <w:proofErr w:type="spellStart"/>
      <w:r w:rsidR="00A6527F">
        <w:rPr>
          <w:rFonts w:eastAsia="Calibri" w:cs="Times New Roman"/>
          <w:color w:val="1F3864" w:themeColor="accent5" w:themeShade="80"/>
          <w:sz w:val="22"/>
          <w:szCs w:val="22"/>
          <w:lang w:eastAsia="en-US"/>
        </w:rPr>
        <w:t>Ardasheva</w:t>
      </w:r>
      <w:proofErr w:type="spellEnd"/>
      <w:r w:rsidR="00A6527F">
        <w:rPr>
          <w:rFonts w:eastAsia="Calibri" w:cs="Times New Roman"/>
          <w:color w:val="1F3864" w:themeColor="accent5" w:themeShade="80"/>
          <w:sz w:val="22"/>
          <w:szCs w:val="22"/>
          <w:lang w:eastAsia="en-US"/>
        </w:rPr>
        <w:t xml:space="preserve">, </w:t>
      </w:r>
      <w:r w:rsidRPr="00A6527F">
        <w:rPr>
          <w:rFonts w:eastAsia="Calibri" w:cs="Times New Roman"/>
          <w:color w:val="1F3864" w:themeColor="accent5" w:themeShade="80"/>
          <w:sz w:val="22"/>
          <w:szCs w:val="22"/>
          <w:lang w:eastAsia="en-US"/>
        </w:rPr>
        <w:t xml:space="preserve">Wang, </w:t>
      </w:r>
      <w:proofErr w:type="spellStart"/>
      <w:r w:rsidRPr="00A6527F">
        <w:rPr>
          <w:rFonts w:eastAsia="Calibri" w:cs="Times New Roman"/>
          <w:color w:val="1F3864" w:themeColor="accent5" w:themeShade="80"/>
          <w:sz w:val="22"/>
          <w:szCs w:val="22"/>
          <w:lang w:eastAsia="en-US"/>
        </w:rPr>
        <w:t>Adesope</w:t>
      </w:r>
      <w:proofErr w:type="spellEnd"/>
      <w:r w:rsidRPr="00A6527F">
        <w:rPr>
          <w:rFonts w:eastAsia="Calibri" w:cs="Times New Roman"/>
          <w:color w:val="1F3864" w:themeColor="accent5" w:themeShade="80"/>
          <w:sz w:val="22"/>
          <w:szCs w:val="22"/>
          <w:lang w:eastAsia="en-US"/>
        </w:rPr>
        <w:t xml:space="preserve">, &amp; Valentine (2017);  </w:t>
      </w:r>
      <w:proofErr w:type="spellStart"/>
      <w:r w:rsidRPr="00A6527F">
        <w:rPr>
          <w:rFonts w:eastAsia="Calibri" w:cs="Times New Roman"/>
          <w:color w:val="1F3864" w:themeColor="accent5" w:themeShade="80"/>
          <w:sz w:val="22"/>
          <w:szCs w:val="22"/>
          <w:lang w:eastAsia="en-US"/>
        </w:rPr>
        <w:t>Plonsky</w:t>
      </w:r>
      <w:proofErr w:type="spellEnd"/>
      <w:r w:rsidRPr="00A6527F">
        <w:rPr>
          <w:rFonts w:eastAsia="Calibri" w:cs="Times New Roman"/>
          <w:color w:val="1F3864" w:themeColor="accent5" w:themeShade="80"/>
          <w:sz w:val="22"/>
          <w:szCs w:val="22"/>
          <w:lang w:eastAsia="en-US"/>
        </w:rPr>
        <w:t>, 2011, 2019; Taylor, 2014) show benefits  from such instruction particularly for reading but it is unclear how far they apply to younger and less proficient learners; the general view is that learners need a certain amount of linguistic knowledge first in order to benefit (although how much exactly is enough is not known – Taylor, 2014).</w:t>
      </w:r>
      <w:proofErr w:type="gramEnd"/>
      <w:r w:rsidRPr="00A6527F">
        <w:rPr>
          <w:rFonts w:eastAsia="Calibri" w:cs="Times New Roman"/>
          <w:color w:val="1F3864" w:themeColor="accent5" w:themeShade="80"/>
          <w:sz w:val="22"/>
          <w:szCs w:val="22"/>
          <w:lang w:eastAsia="en-US"/>
        </w:rPr>
        <w:t xml:space="preserve">  Nevertheless, some </w:t>
      </w:r>
      <w:r w:rsidR="002D5A36" w:rsidRPr="00A6527F">
        <w:rPr>
          <w:rFonts w:eastAsia="Calibri" w:cs="Times New Roman"/>
          <w:color w:val="1F3864" w:themeColor="accent5" w:themeShade="80"/>
          <w:sz w:val="22"/>
          <w:szCs w:val="22"/>
          <w:lang w:eastAsia="en-US"/>
        </w:rPr>
        <w:t>findings to inform</w:t>
      </w:r>
      <w:r w:rsidRPr="00A6527F">
        <w:rPr>
          <w:rFonts w:eastAsia="Calibri" w:cs="Times New Roman"/>
          <w:color w:val="1F3864" w:themeColor="accent5" w:themeShade="80"/>
          <w:sz w:val="22"/>
          <w:szCs w:val="22"/>
          <w:lang w:eastAsia="en-US"/>
        </w:rPr>
        <w:t xml:space="preserve"> practice </w:t>
      </w:r>
      <w:proofErr w:type="gramStart"/>
      <w:r w:rsidRPr="00A6527F">
        <w:rPr>
          <w:rFonts w:eastAsia="Calibri" w:cs="Times New Roman"/>
          <w:color w:val="1F3864" w:themeColor="accent5" w:themeShade="80"/>
          <w:sz w:val="22"/>
          <w:szCs w:val="22"/>
          <w:lang w:eastAsia="en-US"/>
        </w:rPr>
        <w:t>can be drawn out</w:t>
      </w:r>
      <w:proofErr w:type="gramEnd"/>
      <w:r w:rsidRPr="00A6527F">
        <w:rPr>
          <w:rFonts w:eastAsia="Calibri" w:cs="Times New Roman"/>
          <w:color w:val="1F3864" w:themeColor="accent5" w:themeShade="80"/>
          <w:sz w:val="22"/>
          <w:szCs w:val="22"/>
          <w:lang w:eastAsia="en-US"/>
        </w:rPr>
        <w:t>:</w:t>
      </w:r>
    </w:p>
    <w:p w14:paraId="760D2DE6" w14:textId="77777777" w:rsidR="00DD79EA"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T</w:t>
      </w:r>
      <w:r w:rsidR="00677651" w:rsidRPr="00A6527F">
        <w:rPr>
          <w:rFonts w:eastAsia="Calibri" w:cs="Times New Roman"/>
          <w:color w:val="1F3864" w:themeColor="accent5" w:themeShade="80"/>
          <w:sz w:val="22"/>
          <w:szCs w:val="22"/>
          <w:lang w:eastAsia="en-US"/>
        </w:rPr>
        <w:t>each</w:t>
      </w:r>
      <w:r w:rsidR="006638F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self-regulatory, text engagement techniques for comprehension</w:t>
      </w:r>
      <w:r w:rsidR="006638F6" w:rsidRPr="00A6527F">
        <w:rPr>
          <w:rFonts w:eastAsia="Calibri" w:cs="Times New Roman"/>
          <w:color w:val="1F3864" w:themeColor="accent5" w:themeShade="80"/>
          <w:sz w:val="22"/>
          <w:szCs w:val="22"/>
          <w:lang w:eastAsia="en-US"/>
        </w:rPr>
        <w:t xml:space="preserve"> can benefit self-efficacy (belief in one’s ability) and hence improve persistence with challenging texts</w:t>
      </w:r>
      <w:r w:rsidRPr="00A6527F">
        <w:rPr>
          <w:rFonts w:eastAsia="Calibri" w:cs="Times New Roman"/>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 xml:space="preserve">for example where the focus is on pulling together available evidence for what a word means and then </w:t>
      </w:r>
      <w:r w:rsidR="006638F6" w:rsidRPr="00A6527F">
        <w:rPr>
          <w:rFonts w:eastAsia="Calibri" w:cs="Times New Roman"/>
          <w:color w:val="1F3864" w:themeColor="accent5" w:themeShade="80"/>
          <w:sz w:val="22"/>
          <w:szCs w:val="22"/>
          <w:lang w:eastAsia="en-US"/>
        </w:rPr>
        <w:t>checking</w:t>
      </w:r>
      <w:r w:rsidR="00677651" w:rsidRPr="00A6527F">
        <w:rPr>
          <w:rFonts w:eastAsia="Calibri" w:cs="Times New Roman"/>
          <w:color w:val="1F3864" w:themeColor="accent5" w:themeShade="80"/>
          <w:sz w:val="22"/>
          <w:szCs w:val="22"/>
          <w:lang w:eastAsia="en-US"/>
        </w:rPr>
        <w:t xml:space="preserve"> the validity of the meaning attributed to that word</w:t>
      </w:r>
    </w:p>
    <w:p w14:paraId="76E3A8F6" w14:textId="3D6A5DA2" w:rsidR="00677651"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C</w:t>
      </w:r>
      <w:r w:rsidR="006638F6" w:rsidRPr="00A6527F">
        <w:rPr>
          <w:rFonts w:eastAsia="Calibri" w:cs="Times New Roman"/>
          <w:color w:val="1F3864" w:themeColor="accent5" w:themeShade="80"/>
          <w:sz w:val="22"/>
          <w:szCs w:val="22"/>
          <w:lang w:eastAsia="en-US"/>
        </w:rPr>
        <w:t>oncentrating on</w:t>
      </w:r>
      <w:r w:rsidRPr="00A6527F">
        <w:rPr>
          <w:rFonts w:eastAsia="Calibri" w:cs="Times New Roman"/>
          <w:color w:val="1F3864" w:themeColor="accent5" w:themeShade="80"/>
          <w:sz w:val="22"/>
          <w:szCs w:val="22"/>
          <w:lang w:eastAsia="en-US"/>
        </w:rPr>
        <w:t xml:space="preserve"> </w:t>
      </w:r>
      <w:r w:rsidR="00677651" w:rsidRPr="00A6527F">
        <w:rPr>
          <w:rFonts w:eastAsia="Calibri" w:cs="Times New Roman"/>
          <w:color w:val="1F3864" w:themeColor="accent5" w:themeShade="80"/>
          <w:sz w:val="22"/>
          <w:szCs w:val="22"/>
          <w:lang w:eastAsia="en-US"/>
        </w:rPr>
        <w:t>a small number of strategies</w:t>
      </w:r>
      <w:r w:rsidR="006638F6" w:rsidRPr="00A6527F">
        <w:rPr>
          <w:rFonts w:eastAsia="Calibri" w:cs="Times New Roman"/>
          <w:color w:val="1F3864" w:themeColor="accent5" w:themeShade="80"/>
          <w:sz w:val="22"/>
          <w:szCs w:val="22"/>
          <w:lang w:eastAsia="en-US"/>
        </w:rPr>
        <w:t xml:space="preserve"> is beneficial</w:t>
      </w:r>
      <w:r w:rsidR="00677651" w:rsidRPr="00A6527F">
        <w:rPr>
          <w:rFonts w:eastAsia="Calibri" w:cs="Times New Roman"/>
          <w:color w:val="1F3864" w:themeColor="accent5" w:themeShade="80"/>
          <w:sz w:val="22"/>
          <w:szCs w:val="22"/>
          <w:lang w:eastAsia="en-US"/>
        </w:rPr>
        <w:t xml:space="preserve"> </w:t>
      </w:r>
    </w:p>
    <w:p w14:paraId="16D5E007" w14:textId="1AB3DD62" w:rsidR="00677651" w:rsidRPr="00A6527F" w:rsidRDefault="00DD79EA" w:rsidP="00DD79EA">
      <w:pPr>
        <w:pStyle w:val="ListParagraph"/>
        <w:numPr>
          <w:ilvl w:val="0"/>
          <w:numId w:val="7"/>
        </w:num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I</w:t>
      </w:r>
      <w:r w:rsidR="00677651" w:rsidRPr="00A6527F">
        <w:rPr>
          <w:rFonts w:eastAsia="Calibri" w:cs="Times New Roman"/>
          <w:color w:val="1F3864" w:themeColor="accent5" w:themeShade="80"/>
          <w:sz w:val="22"/>
          <w:szCs w:val="22"/>
          <w:lang w:eastAsia="en-US"/>
        </w:rPr>
        <w:t>nclud</w:t>
      </w:r>
      <w:r w:rsidR="002D5A3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a metacognitive component, e.g. ask</w:t>
      </w:r>
      <w:r w:rsidR="002D5A36" w:rsidRPr="00A6527F">
        <w:rPr>
          <w:rFonts w:eastAsia="Calibri" w:cs="Times New Roman"/>
          <w:color w:val="1F3864" w:themeColor="accent5" w:themeShade="80"/>
          <w:sz w:val="22"/>
          <w:szCs w:val="22"/>
          <w:lang w:eastAsia="en-US"/>
        </w:rPr>
        <w:t>ing</w:t>
      </w:r>
      <w:r w:rsidR="00677651" w:rsidRPr="00A6527F">
        <w:rPr>
          <w:rFonts w:eastAsia="Calibri" w:cs="Times New Roman"/>
          <w:color w:val="1F3864" w:themeColor="accent5" w:themeShade="80"/>
          <w:sz w:val="22"/>
          <w:szCs w:val="22"/>
          <w:lang w:eastAsia="en-US"/>
        </w:rPr>
        <w:t xml:space="preserve"> learners to reflect on which strategies helped their comprehension and </w:t>
      </w:r>
      <w:r w:rsidR="002D5A36" w:rsidRPr="00A6527F">
        <w:rPr>
          <w:rFonts w:eastAsia="Calibri" w:cs="Times New Roman"/>
          <w:color w:val="1F3864" w:themeColor="accent5" w:themeShade="80"/>
          <w:sz w:val="22"/>
          <w:szCs w:val="22"/>
          <w:lang w:eastAsia="en-US"/>
        </w:rPr>
        <w:t xml:space="preserve">to </w:t>
      </w:r>
      <w:r w:rsidR="00677651" w:rsidRPr="00A6527F">
        <w:rPr>
          <w:rFonts w:eastAsia="Calibri" w:cs="Times New Roman"/>
          <w:color w:val="1F3864" w:themeColor="accent5" w:themeShade="80"/>
          <w:sz w:val="22"/>
          <w:szCs w:val="22"/>
          <w:lang w:eastAsia="en-US"/>
        </w:rPr>
        <w:t xml:space="preserve">evaluate whether any modifications in strategy application </w:t>
      </w:r>
      <w:proofErr w:type="gramStart"/>
      <w:r w:rsidR="00677651" w:rsidRPr="00A6527F">
        <w:rPr>
          <w:rFonts w:eastAsia="Calibri" w:cs="Times New Roman"/>
          <w:color w:val="1F3864" w:themeColor="accent5" w:themeShade="80"/>
          <w:sz w:val="22"/>
          <w:szCs w:val="22"/>
          <w:lang w:eastAsia="en-US"/>
        </w:rPr>
        <w:t>are needed</w:t>
      </w:r>
      <w:proofErr w:type="gramEnd"/>
      <w:r w:rsidR="002D5A36" w:rsidRPr="00A6527F">
        <w:rPr>
          <w:rFonts w:eastAsia="Calibri" w:cs="Times New Roman"/>
          <w:color w:val="1F3864" w:themeColor="accent5" w:themeShade="80"/>
          <w:sz w:val="22"/>
          <w:szCs w:val="22"/>
          <w:lang w:eastAsia="en-US"/>
        </w:rPr>
        <w:t>, can be helpful</w:t>
      </w:r>
      <w:r w:rsidRPr="00A6527F">
        <w:rPr>
          <w:rFonts w:eastAsia="Calibri" w:cs="Times New Roman"/>
          <w:color w:val="1F3864" w:themeColor="accent5" w:themeShade="80"/>
          <w:sz w:val="22"/>
          <w:szCs w:val="22"/>
          <w:lang w:eastAsia="en-US"/>
        </w:rPr>
        <w:t>.</w:t>
      </w:r>
    </w:p>
    <w:p w14:paraId="6FD8DA77" w14:textId="1547E40D" w:rsidR="00677651" w:rsidRPr="00A6527F" w:rsidRDefault="00677651" w:rsidP="00677651">
      <w:pPr>
        <w:rPr>
          <w:rFonts w:eastAsia="Calibri" w:cs="Times New Roman"/>
          <w:color w:val="1F3864" w:themeColor="accent5" w:themeShade="80"/>
          <w:sz w:val="22"/>
          <w:szCs w:val="22"/>
          <w:lang w:eastAsia="en-US"/>
        </w:rPr>
      </w:pPr>
      <w:r w:rsidRPr="00A6527F">
        <w:rPr>
          <w:rFonts w:eastAsia="Calibri" w:cs="Times New Roman"/>
          <w:color w:val="1F3864" w:themeColor="accent5" w:themeShade="80"/>
          <w:sz w:val="22"/>
          <w:szCs w:val="22"/>
          <w:lang w:eastAsia="en-US"/>
        </w:rPr>
        <w:t xml:space="preserve">Year 7/Year 8 learners of French who received that kind of strategy instruction in a study by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and </w:t>
      </w:r>
      <w:proofErr w:type="spellStart"/>
      <w:r w:rsidRPr="00A6527F">
        <w:rPr>
          <w:rFonts w:eastAsia="Calibri" w:cs="Times New Roman"/>
          <w:color w:val="1F3864" w:themeColor="accent5" w:themeShade="80"/>
          <w:sz w:val="22"/>
          <w:szCs w:val="22"/>
          <w:lang w:eastAsia="en-US"/>
        </w:rPr>
        <w:t>Erler</w:t>
      </w:r>
      <w:proofErr w:type="spellEnd"/>
      <w:r w:rsidRPr="00A6527F">
        <w:rPr>
          <w:rFonts w:eastAsia="Calibri" w:cs="Times New Roman"/>
          <w:color w:val="1F3864" w:themeColor="accent5" w:themeShade="80"/>
          <w:sz w:val="22"/>
          <w:szCs w:val="22"/>
          <w:lang w:eastAsia="en-US"/>
        </w:rPr>
        <w:t xml:space="preserve"> (2008) not only became better at reading in French but also more confident about it.  They also received phonics teaching and </w:t>
      </w:r>
      <w:proofErr w:type="gramStart"/>
      <w:r w:rsidRPr="00A6527F">
        <w:rPr>
          <w:rFonts w:eastAsia="Calibri" w:cs="Times New Roman"/>
          <w:color w:val="1F3864" w:themeColor="accent5" w:themeShade="80"/>
          <w:sz w:val="22"/>
          <w:szCs w:val="22"/>
          <w:lang w:eastAsia="en-US"/>
        </w:rPr>
        <w:t>were taught</w:t>
      </w:r>
      <w:proofErr w:type="gramEnd"/>
      <w:r w:rsidRPr="00A6527F">
        <w:rPr>
          <w:rFonts w:eastAsia="Calibri" w:cs="Times New Roman"/>
          <w:color w:val="1F3864" w:themeColor="accent5" w:themeShade="80"/>
          <w:sz w:val="22"/>
          <w:szCs w:val="22"/>
          <w:lang w:eastAsia="en-US"/>
        </w:rPr>
        <w:t xml:space="preserve"> to use ‘sounding out’ to help them work out the meaning of words. In </w:t>
      </w:r>
      <w:proofErr w:type="spellStart"/>
      <w:r w:rsidRPr="00A6527F">
        <w:rPr>
          <w:rFonts w:eastAsia="Calibri" w:cs="Times New Roman"/>
          <w:color w:val="1F3864" w:themeColor="accent5" w:themeShade="80"/>
          <w:sz w:val="22"/>
          <w:szCs w:val="22"/>
          <w:lang w:eastAsia="en-US"/>
        </w:rPr>
        <w:t>Woore</w:t>
      </w:r>
      <w:proofErr w:type="spellEnd"/>
      <w:r w:rsidRPr="00A6527F">
        <w:rPr>
          <w:rFonts w:eastAsia="Calibri" w:cs="Times New Roman"/>
          <w:color w:val="1F3864" w:themeColor="accent5" w:themeShade="80"/>
          <w:sz w:val="22"/>
          <w:szCs w:val="22"/>
          <w:lang w:eastAsia="en-US"/>
        </w:rPr>
        <w:t xml:space="preserve"> et al. (2018), strategy instruction and phonics teaching </w:t>
      </w:r>
      <w:proofErr w:type="gramStart"/>
      <w:r w:rsidRPr="00A6527F">
        <w:rPr>
          <w:rFonts w:eastAsia="Calibri" w:cs="Times New Roman"/>
          <w:color w:val="1F3864" w:themeColor="accent5" w:themeShade="80"/>
          <w:sz w:val="22"/>
          <w:szCs w:val="22"/>
          <w:lang w:eastAsia="en-US"/>
        </w:rPr>
        <w:t>were separated out,</w:t>
      </w:r>
      <w:proofErr w:type="gramEnd"/>
      <w:r w:rsidRPr="00A6527F">
        <w:rPr>
          <w:rFonts w:eastAsia="Calibri" w:cs="Times New Roman"/>
          <w:color w:val="1F3864" w:themeColor="accent5" w:themeShade="80"/>
          <w:sz w:val="22"/>
          <w:szCs w:val="22"/>
          <w:lang w:eastAsia="en-US"/>
        </w:rPr>
        <w:t xml:space="preserve"> so that learners received only one of those types of reading instruction for use with challenging texts. Strategy instruction helped learners’ self-efficacy for reading the challenging texts used at each test point (especially for learners with </w:t>
      </w:r>
      <w:r w:rsidRPr="00A6527F">
        <w:rPr>
          <w:rFonts w:eastAsia="Calibri" w:cs="Times New Roman"/>
          <w:i/>
          <w:color w:val="1F3864" w:themeColor="accent5" w:themeShade="80"/>
          <w:sz w:val="22"/>
          <w:szCs w:val="22"/>
          <w:lang w:eastAsia="en-US"/>
        </w:rPr>
        <w:t>lower levels of French</w:t>
      </w:r>
      <w:r w:rsidRPr="00A6527F">
        <w:rPr>
          <w:rFonts w:eastAsia="Calibri" w:cs="Times New Roman"/>
          <w:color w:val="1F3864" w:themeColor="accent5" w:themeShade="80"/>
          <w:sz w:val="22"/>
          <w:szCs w:val="22"/>
          <w:lang w:eastAsia="en-US"/>
        </w:rPr>
        <w:t xml:space="preserve"> and </w:t>
      </w:r>
      <w:r w:rsidR="006638F6" w:rsidRPr="00A6527F">
        <w:rPr>
          <w:rFonts w:eastAsia="Calibri" w:cs="Times New Roman"/>
          <w:i/>
          <w:color w:val="1F3864" w:themeColor="accent5" w:themeShade="80"/>
          <w:sz w:val="22"/>
          <w:szCs w:val="22"/>
          <w:lang w:eastAsia="en-US"/>
        </w:rPr>
        <w:t xml:space="preserve">lower </w:t>
      </w:r>
      <w:r w:rsidRPr="00A6527F">
        <w:rPr>
          <w:rFonts w:eastAsia="Calibri" w:cs="Times New Roman"/>
          <w:i/>
          <w:color w:val="1F3864" w:themeColor="accent5" w:themeShade="80"/>
          <w:sz w:val="22"/>
          <w:szCs w:val="22"/>
          <w:lang w:eastAsia="en-US"/>
        </w:rPr>
        <w:t>general academic attainment</w:t>
      </w:r>
      <w:r w:rsidRPr="00A6527F">
        <w:rPr>
          <w:rFonts w:eastAsia="Calibri" w:cs="Times New Roman"/>
          <w:color w:val="1F3864" w:themeColor="accent5" w:themeShade="80"/>
          <w:sz w:val="22"/>
          <w:szCs w:val="22"/>
          <w:lang w:eastAsia="en-US"/>
        </w:rPr>
        <w:t>)</w:t>
      </w:r>
      <w:r w:rsidR="006638F6" w:rsidRPr="00A6527F">
        <w:rPr>
          <w:rFonts w:eastAsia="Calibri" w:cs="Times New Roman"/>
          <w:color w:val="1F3864" w:themeColor="accent5" w:themeShade="80"/>
          <w:sz w:val="22"/>
          <w:szCs w:val="22"/>
          <w:lang w:eastAsia="en-US"/>
        </w:rPr>
        <w:t>,</w:t>
      </w:r>
      <w:r w:rsidRPr="00A6527F">
        <w:rPr>
          <w:rFonts w:eastAsia="Calibri" w:cs="Times New Roman"/>
          <w:color w:val="1F3864" w:themeColor="accent5" w:themeShade="80"/>
          <w:sz w:val="22"/>
          <w:szCs w:val="22"/>
          <w:lang w:eastAsia="en-US"/>
        </w:rPr>
        <w:t xml:space="preserve"> and vocabulary; phonics instruction helped decoding and vocabulary development. Combining the two approaches with challenging texts is likely to be the most effective</w:t>
      </w:r>
      <w:r w:rsidR="006638F6" w:rsidRPr="00A6527F">
        <w:rPr>
          <w:rFonts w:eastAsia="Calibri" w:cs="Times New Roman"/>
          <w:color w:val="1F3864" w:themeColor="accent5" w:themeShade="80"/>
          <w:sz w:val="22"/>
          <w:szCs w:val="22"/>
          <w:lang w:eastAsia="en-US"/>
        </w:rPr>
        <w:t>, above all with lower attaining learners</w:t>
      </w:r>
      <w:r w:rsidRPr="00A6527F">
        <w:rPr>
          <w:rFonts w:eastAsia="Calibri" w:cs="Times New Roman"/>
          <w:color w:val="1F3864" w:themeColor="accent5" w:themeShade="80"/>
          <w:sz w:val="22"/>
          <w:szCs w:val="22"/>
          <w:lang w:eastAsia="en-US"/>
        </w:rPr>
        <w:t xml:space="preserve">. For listening strategy instruction, the evidence is much more mixed, although a study conducted with Year 12 learners of French found that it did improve both listening and self-efficacy for listening (Graham &amp;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2008), using very similar principles to those implemented in </w:t>
      </w:r>
      <w:proofErr w:type="spellStart"/>
      <w:r w:rsidRPr="00A6527F">
        <w:rPr>
          <w:rFonts w:eastAsia="Calibri" w:cs="Times New Roman"/>
          <w:color w:val="1F3864" w:themeColor="accent5" w:themeShade="80"/>
          <w:sz w:val="22"/>
          <w:szCs w:val="22"/>
          <w:lang w:eastAsia="en-US"/>
        </w:rPr>
        <w:t>Macaro</w:t>
      </w:r>
      <w:proofErr w:type="spellEnd"/>
      <w:r w:rsidRPr="00A6527F">
        <w:rPr>
          <w:rFonts w:eastAsia="Calibri" w:cs="Times New Roman"/>
          <w:color w:val="1F3864" w:themeColor="accent5" w:themeShade="80"/>
          <w:sz w:val="22"/>
          <w:szCs w:val="22"/>
          <w:lang w:eastAsia="en-US"/>
        </w:rPr>
        <w:t xml:space="preserve"> and </w:t>
      </w:r>
      <w:proofErr w:type="spellStart"/>
      <w:r w:rsidRPr="00A6527F">
        <w:rPr>
          <w:rFonts w:eastAsia="Calibri" w:cs="Times New Roman"/>
          <w:color w:val="1F3864" w:themeColor="accent5" w:themeShade="80"/>
          <w:sz w:val="22"/>
          <w:szCs w:val="22"/>
          <w:lang w:eastAsia="en-US"/>
        </w:rPr>
        <w:t>Erler</w:t>
      </w:r>
      <w:proofErr w:type="spellEnd"/>
      <w:r w:rsidRPr="00A6527F">
        <w:rPr>
          <w:rFonts w:eastAsia="Calibri" w:cs="Times New Roman"/>
          <w:color w:val="1F3864" w:themeColor="accent5" w:themeShade="80"/>
          <w:sz w:val="22"/>
          <w:szCs w:val="22"/>
          <w:lang w:eastAsia="en-US"/>
        </w:rPr>
        <w:t xml:space="preserve"> (2008).</w:t>
      </w:r>
    </w:p>
    <w:p w14:paraId="4094AC39" w14:textId="77777777" w:rsidR="00A6527F" w:rsidRDefault="00A6527F" w:rsidP="00677651">
      <w:pPr>
        <w:rPr>
          <w:rFonts w:eastAsia="Calibri" w:cs="Times New Roman"/>
          <w:b/>
          <w:color w:val="1F3864" w:themeColor="accent5" w:themeShade="80"/>
          <w:sz w:val="22"/>
          <w:szCs w:val="22"/>
          <w:lang w:eastAsia="en-US"/>
        </w:rPr>
      </w:pPr>
    </w:p>
    <w:p w14:paraId="6D420256" w14:textId="77777777" w:rsidR="00677651" w:rsidRPr="00A6527F" w:rsidRDefault="00677651" w:rsidP="002F067A">
      <w:pPr>
        <w:pStyle w:val="Heading1"/>
      </w:pPr>
      <w:r w:rsidRPr="00A6527F">
        <w:t>REFERENCES</w:t>
      </w:r>
    </w:p>
    <w:p w14:paraId="186087DE" w14:textId="70300893" w:rsidR="00677651" w:rsidRPr="00A6527F" w:rsidRDefault="00A6527F" w:rsidP="00677651">
      <w:pPr>
        <w:rPr>
          <w:rFonts w:eastAsia="Calibri" w:cs="Calibri"/>
          <w:color w:val="1F3864" w:themeColor="accent5" w:themeShade="80"/>
          <w:sz w:val="22"/>
          <w:szCs w:val="22"/>
          <w:lang w:eastAsia="en-US"/>
        </w:rPr>
      </w:pPr>
      <w:proofErr w:type="spellStart"/>
      <w:r>
        <w:rPr>
          <w:rFonts w:eastAsia="Calibri" w:cs="Calibri"/>
          <w:color w:val="1F3864" w:themeColor="accent5" w:themeShade="80"/>
          <w:sz w:val="22"/>
          <w:szCs w:val="22"/>
          <w:lang w:eastAsia="en-US"/>
        </w:rPr>
        <w:t>Ardasheva</w:t>
      </w:r>
      <w:proofErr w:type="spellEnd"/>
      <w:r>
        <w:rPr>
          <w:rFonts w:eastAsia="Calibri" w:cs="Calibri"/>
          <w:color w:val="1F3864" w:themeColor="accent5" w:themeShade="80"/>
          <w:sz w:val="22"/>
          <w:szCs w:val="22"/>
          <w:lang w:eastAsia="en-US"/>
        </w:rPr>
        <w:t xml:space="preserve">, Y., </w:t>
      </w:r>
      <w:r w:rsidR="00677651" w:rsidRPr="00A6527F">
        <w:rPr>
          <w:rFonts w:eastAsia="Calibri" w:cs="Calibri"/>
          <w:color w:val="1F3864" w:themeColor="accent5" w:themeShade="80"/>
          <w:sz w:val="22"/>
          <w:szCs w:val="22"/>
          <w:lang w:eastAsia="en-US"/>
        </w:rPr>
        <w:t xml:space="preserve">Wang, Z., </w:t>
      </w:r>
      <w:proofErr w:type="spellStart"/>
      <w:r w:rsidR="00677651" w:rsidRPr="00A6527F">
        <w:rPr>
          <w:rFonts w:eastAsia="Calibri" w:cs="Calibri"/>
          <w:color w:val="1F3864" w:themeColor="accent5" w:themeShade="80"/>
          <w:sz w:val="22"/>
          <w:szCs w:val="22"/>
          <w:lang w:eastAsia="en-US"/>
        </w:rPr>
        <w:t>Adesope</w:t>
      </w:r>
      <w:proofErr w:type="spellEnd"/>
      <w:r w:rsidR="00677651" w:rsidRPr="00A6527F">
        <w:rPr>
          <w:rFonts w:eastAsia="Calibri" w:cs="Calibri"/>
          <w:color w:val="1F3864" w:themeColor="accent5" w:themeShade="80"/>
          <w:sz w:val="22"/>
          <w:szCs w:val="22"/>
          <w:lang w:eastAsia="en-US"/>
        </w:rPr>
        <w:t>, O.O.</w:t>
      </w:r>
      <w:proofErr w:type="gramStart"/>
      <w:r w:rsidR="00677651" w:rsidRPr="00A6527F">
        <w:rPr>
          <w:rFonts w:eastAsia="Calibri" w:cs="Calibri"/>
          <w:color w:val="1F3864" w:themeColor="accent5" w:themeShade="80"/>
          <w:sz w:val="22"/>
          <w:szCs w:val="22"/>
          <w:lang w:eastAsia="en-US"/>
        </w:rPr>
        <w:t>,  &amp;</w:t>
      </w:r>
      <w:proofErr w:type="gramEnd"/>
      <w:r w:rsidR="00677651" w:rsidRPr="00A6527F">
        <w:rPr>
          <w:rFonts w:eastAsia="Calibri" w:cs="Calibri"/>
          <w:color w:val="1F3864" w:themeColor="accent5" w:themeShade="80"/>
          <w:sz w:val="22"/>
          <w:szCs w:val="22"/>
          <w:lang w:eastAsia="en-US"/>
        </w:rPr>
        <w:t xml:space="preserve"> Valentine, J. C. (2017).  Exploring effectiveness and moderators of language learning strategy instruction on second language and self-</w:t>
      </w:r>
      <w:proofErr w:type="gramStart"/>
      <w:r w:rsidR="00677651" w:rsidRPr="00A6527F">
        <w:rPr>
          <w:rFonts w:eastAsia="Calibri" w:cs="Calibri"/>
          <w:color w:val="1F3864" w:themeColor="accent5" w:themeShade="80"/>
          <w:sz w:val="22"/>
          <w:szCs w:val="22"/>
          <w:lang w:eastAsia="en-US"/>
        </w:rPr>
        <w:t>regulated  learning</w:t>
      </w:r>
      <w:proofErr w:type="gramEnd"/>
      <w:r w:rsidR="00677651" w:rsidRPr="00A6527F">
        <w:rPr>
          <w:rFonts w:eastAsia="Calibri" w:cs="Calibri"/>
          <w:color w:val="1F3864" w:themeColor="accent5" w:themeShade="80"/>
          <w:sz w:val="22"/>
          <w:szCs w:val="22"/>
          <w:lang w:eastAsia="en-US"/>
        </w:rPr>
        <w:t xml:space="preserve"> outcomes. </w:t>
      </w:r>
      <w:r w:rsidR="00677651" w:rsidRPr="00A6527F">
        <w:rPr>
          <w:rFonts w:eastAsia="Calibri" w:cs="Calibri"/>
          <w:i/>
          <w:iCs/>
          <w:color w:val="1F3864" w:themeColor="accent5" w:themeShade="80"/>
          <w:sz w:val="22"/>
          <w:szCs w:val="22"/>
          <w:lang w:eastAsia="en-US"/>
        </w:rPr>
        <w:t>Review of Educational Research, 87</w:t>
      </w:r>
      <w:r w:rsidR="00677651" w:rsidRPr="00A6527F">
        <w:rPr>
          <w:rFonts w:eastAsia="Calibri" w:cs="Calibri"/>
          <w:color w:val="1F3864" w:themeColor="accent5" w:themeShade="80"/>
          <w:sz w:val="22"/>
          <w:szCs w:val="22"/>
          <w:lang w:eastAsia="en-US"/>
        </w:rPr>
        <w:t xml:space="preserve">, 544 –582 DOI: 10.3102/0034654316689135  </w:t>
      </w:r>
    </w:p>
    <w:p w14:paraId="70C714BD" w14:textId="2CB40893"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Dewaele</w:t>
      </w:r>
      <w:proofErr w:type="spellEnd"/>
      <w:r w:rsidRPr="00A6527F">
        <w:rPr>
          <w:rFonts w:eastAsia="Calibri" w:cs="Calibri"/>
          <w:color w:val="1F3864" w:themeColor="accent5" w:themeShade="80"/>
          <w:sz w:val="22"/>
          <w:szCs w:val="22"/>
          <w:lang w:eastAsia="en-US"/>
        </w:rPr>
        <w:t>, J.-M. (2015). </w:t>
      </w:r>
      <w:proofErr w:type="gramStart"/>
      <w:r w:rsidRPr="00A6527F">
        <w:rPr>
          <w:rFonts w:eastAsia="Calibri" w:cs="Calibri"/>
          <w:color w:val="1F3864" w:themeColor="accent5" w:themeShade="80"/>
          <w:sz w:val="22"/>
          <w:szCs w:val="22"/>
          <w:lang w:eastAsia="en-US"/>
        </w:rPr>
        <w:t>On</w:t>
      </w:r>
      <w:proofErr w:type="gramEnd"/>
      <w:r w:rsidRPr="00A6527F">
        <w:rPr>
          <w:rFonts w:eastAsia="Calibri" w:cs="Calibri"/>
          <w:color w:val="1F3864" w:themeColor="accent5" w:themeShade="80"/>
          <w:sz w:val="22"/>
          <w:szCs w:val="22"/>
          <w:lang w:eastAsia="en-US"/>
        </w:rPr>
        <w:t xml:space="preserve"> emotions in foreign language learning and use. </w:t>
      </w:r>
      <w:r w:rsidRPr="00A6527F">
        <w:rPr>
          <w:rFonts w:eastAsia="Calibri" w:cs="Calibri"/>
          <w:i/>
          <w:iCs/>
          <w:color w:val="1F3864" w:themeColor="accent5" w:themeShade="80"/>
          <w:sz w:val="22"/>
          <w:szCs w:val="22"/>
          <w:lang w:eastAsia="en-US"/>
        </w:rPr>
        <w:t>The Language Teacher, 39</w:t>
      </w:r>
      <w:r w:rsidRPr="00A6527F">
        <w:rPr>
          <w:rFonts w:eastAsia="Calibri" w:cs="Calibri"/>
          <w:color w:val="1F3864" w:themeColor="accent5" w:themeShade="80"/>
          <w:sz w:val="22"/>
          <w:szCs w:val="22"/>
          <w:lang w:eastAsia="en-US"/>
        </w:rPr>
        <w:t>, 13–15</w:t>
      </w:r>
      <w:r w:rsidR="00A6527F">
        <w:rPr>
          <w:rFonts w:eastAsia="Calibri" w:cs="Calibri"/>
          <w:color w:val="1F3864" w:themeColor="accent5" w:themeShade="80"/>
          <w:sz w:val="22"/>
          <w:szCs w:val="22"/>
          <w:lang w:eastAsia="en-US"/>
        </w:rPr>
        <w:t xml:space="preserve"> </w:t>
      </w:r>
      <w:hyperlink r:id="rId7" w:history="1">
        <w:r w:rsidRPr="00A6527F">
          <w:rPr>
            <w:rFonts w:eastAsia="Calibri" w:cs="Calibri"/>
            <w:color w:val="1F3864" w:themeColor="accent5" w:themeShade="80"/>
            <w:sz w:val="22"/>
            <w:szCs w:val="22"/>
            <w:u w:val="single"/>
            <w:lang w:eastAsia="en-US"/>
          </w:rPr>
          <w:t>http://discovery.ucl.ac.uk/10019165/</w:t>
        </w:r>
      </w:hyperlink>
    </w:p>
    <w:p w14:paraId="20738E53"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val="en-US" w:eastAsia="en-US"/>
        </w:rPr>
        <w:t>Dewaele</w:t>
      </w:r>
      <w:proofErr w:type="spellEnd"/>
      <w:r w:rsidRPr="00A6527F">
        <w:rPr>
          <w:rFonts w:eastAsia="Calibri" w:cs="Calibri"/>
          <w:color w:val="1F3864" w:themeColor="accent5" w:themeShade="80"/>
          <w:sz w:val="22"/>
          <w:szCs w:val="22"/>
          <w:lang w:val="en-US" w:eastAsia="en-US"/>
        </w:rPr>
        <w:t xml:space="preserve">, J.-M., </w:t>
      </w:r>
      <w:proofErr w:type="spellStart"/>
      <w:r w:rsidRPr="00A6527F">
        <w:rPr>
          <w:rFonts w:eastAsia="Calibri" w:cs="Calibri"/>
          <w:color w:val="1F3864" w:themeColor="accent5" w:themeShade="80"/>
          <w:sz w:val="22"/>
          <w:szCs w:val="22"/>
          <w:lang w:val="en-US" w:eastAsia="en-US"/>
        </w:rPr>
        <w:t>Witney</w:t>
      </w:r>
      <w:proofErr w:type="spellEnd"/>
      <w:r w:rsidRPr="00A6527F">
        <w:rPr>
          <w:rFonts w:eastAsia="Calibri" w:cs="Calibri"/>
          <w:color w:val="1F3864" w:themeColor="accent5" w:themeShade="80"/>
          <w:sz w:val="22"/>
          <w:szCs w:val="22"/>
          <w:lang w:val="en-US" w:eastAsia="en-US"/>
        </w:rPr>
        <w:t xml:space="preserve">, J., Saito, K. &amp; </w:t>
      </w:r>
      <w:proofErr w:type="spellStart"/>
      <w:r w:rsidRPr="00A6527F">
        <w:rPr>
          <w:rFonts w:eastAsia="Calibri" w:cs="Calibri"/>
          <w:color w:val="1F3864" w:themeColor="accent5" w:themeShade="80"/>
          <w:sz w:val="22"/>
          <w:szCs w:val="22"/>
          <w:lang w:val="en-US" w:eastAsia="en-US"/>
        </w:rPr>
        <w:t>Dewaele</w:t>
      </w:r>
      <w:proofErr w:type="spellEnd"/>
      <w:r w:rsidRPr="00A6527F">
        <w:rPr>
          <w:rFonts w:eastAsia="Calibri" w:cs="Calibri"/>
          <w:color w:val="1F3864" w:themeColor="accent5" w:themeShade="80"/>
          <w:sz w:val="22"/>
          <w:szCs w:val="22"/>
          <w:lang w:val="en-US" w:eastAsia="en-US"/>
        </w:rPr>
        <w:t>, L. (2017). Foreign language enjoyment and anxiety in the FL classroom: The effect of teacher and learner variables. </w:t>
      </w:r>
      <w:r w:rsidRPr="00A6527F">
        <w:rPr>
          <w:rFonts w:eastAsia="Calibri" w:cs="Calibri"/>
          <w:i/>
          <w:iCs/>
          <w:color w:val="1F3864" w:themeColor="accent5" w:themeShade="80"/>
          <w:sz w:val="22"/>
          <w:szCs w:val="22"/>
          <w:lang w:val="en-US" w:eastAsia="en-US"/>
        </w:rPr>
        <w:t>Language Teaching Research</w:t>
      </w:r>
      <w:r w:rsidRPr="00A6527F">
        <w:rPr>
          <w:rFonts w:eastAsia="Calibri" w:cs="Calibri"/>
          <w:color w:val="1F3864" w:themeColor="accent5" w:themeShade="80"/>
          <w:sz w:val="22"/>
          <w:szCs w:val="22"/>
          <w:lang w:val="en-US" w:eastAsia="en-US"/>
        </w:rPr>
        <w:t>. DOI: 10.1177/1362168817692161</w:t>
      </w:r>
    </w:p>
    <w:p w14:paraId="0C27BCC7" w14:textId="1AC9D67B"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El</w:t>
      </w:r>
      <w:r w:rsidR="00A6527F">
        <w:rPr>
          <w:rFonts w:eastAsia="Calibri" w:cs="Calibri"/>
          <w:color w:val="1F3864" w:themeColor="accent5" w:themeShade="80"/>
          <w:sz w:val="22"/>
          <w:szCs w:val="22"/>
          <w:lang w:eastAsia="en-US"/>
        </w:rPr>
        <w:t xml:space="preserve">lis, R., </w:t>
      </w:r>
      <w:r w:rsidRPr="00A6527F">
        <w:rPr>
          <w:rFonts w:eastAsia="Calibri" w:cs="Calibri"/>
          <w:color w:val="1F3864" w:themeColor="accent5" w:themeShade="80"/>
          <w:sz w:val="22"/>
          <w:szCs w:val="22"/>
          <w:lang w:eastAsia="en-US"/>
        </w:rPr>
        <w:t xml:space="preserve">&amp; </w:t>
      </w:r>
      <w:proofErr w:type="spellStart"/>
      <w:r w:rsidRPr="00A6527F">
        <w:rPr>
          <w:rFonts w:eastAsia="Calibri" w:cs="Calibri"/>
          <w:color w:val="1F3864" w:themeColor="accent5" w:themeShade="80"/>
          <w:sz w:val="22"/>
          <w:szCs w:val="22"/>
          <w:lang w:eastAsia="en-US"/>
        </w:rPr>
        <w:t>Shintani</w:t>
      </w:r>
      <w:proofErr w:type="spellEnd"/>
      <w:r w:rsidRPr="00A6527F">
        <w:rPr>
          <w:rFonts w:eastAsia="Calibri" w:cs="Calibri"/>
          <w:color w:val="1F3864" w:themeColor="accent5" w:themeShade="80"/>
          <w:sz w:val="22"/>
          <w:szCs w:val="22"/>
          <w:lang w:eastAsia="en-US"/>
        </w:rPr>
        <w:t xml:space="preserve">, N. (2014). </w:t>
      </w:r>
      <w:r w:rsidRPr="00A6527F">
        <w:rPr>
          <w:rFonts w:eastAsia="Calibri" w:cs="Calibri"/>
          <w:i/>
          <w:iCs/>
          <w:color w:val="1F3864" w:themeColor="accent5" w:themeShade="80"/>
          <w:sz w:val="22"/>
          <w:szCs w:val="22"/>
          <w:lang w:eastAsia="en-US"/>
        </w:rPr>
        <w:t>Exploring language pedagogy through second language acquisition research. </w:t>
      </w:r>
      <w:r w:rsidRPr="00A6527F">
        <w:rPr>
          <w:rFonts w:eastAsia="Calibri" w:cs="Calibri"/>
          <w:color w:val="1F3864" w:themeColor="accent5" w:themeShade="80"/>
          <w:sz w:val="22"/>
          <w:szCs w:val="22"/>
          <w:lang w:eastAsia="en-US"/>
        </w:rPr>
        <w:t>New York, NY and London, UK: Routledge</w:t>
      </w:r>
    </w:p>
    <w:p w14:paraId="6B81E1BA" w14:textId="4B4F8645"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Fisher, L. (2001). MFL recruitment post-16: The pupils' perspective,</w:t>
      </w:r>
      <w:r w:rsidRPr="00A6527F">
        <w:rPr>
          <w:rFonts w:eastAsia="Calibri" w:cs="Calibri"/>
          <w:i/>
          <w:iCs/>
          <w:color w:val="1F3864" w:themeColor="accent5" w:themeShade="80"/>
          <w:sz w:val="22"/>
          <w:szCs w:val="22"/>
          <w:lang w:eastAsia="en-US"/>
        </w:rPr>
        <w:t xml:space="preserve"> Language Learning Journal</w:t>
      </w:r>
      <w:r w:rsidR="00A6527F">
        <w:rPr>
          <w:rFonts w:eastAsia="Calibri" w:cs="Calibri"/>
          <w:color w:val="1F3864" w:themeColor="accent5" w:themeShade="80"/>
          <w:sz w:val="22"/>
          <w:szCs w:val="22"/>
          <w:lang w:eastAsia="en-US"/>
        </w:rPr>
        <w:t>, 23, 33-40</w:t>
      </w:r>
    </w:p>
    <w:p w14:paraId="70BD88B0"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lastRenderedPageBreak/>
        <w:t>Grabe</w:t>
      </w:r>
      <w:proofErr w:type="spellEnd"/>
      <w:r w:rsidRPr="00A6527F">
        <w:rPr>
          <w:rFonts w:eastAsia="Calibri" w:cs="Calibri"/>
          <w:color w:val="1F3864" w:themeColor="accent5" w:themeShade="80"/>
          <w:sz w:val="22"/>
          <w:szCs w:val="22"/>
          <w:lang w:eastAsia="en-US"/>
        </w:rPr>
        <w:t xml:space="preserve">, W., &amp; Jiang, X. (2013). Assessing reading. </w:t>
      </w:r>
      <w:r w:rsidRPr="00A6527F">
        <w:rPr>
          <w:rFonts w:eastAsia="Calibri" w:cs="Calibri"/>
          <w:i/>
          <w:iCs/>
          <w:color w:val="1F3864" w:themeColor="accent5" w:themeShade="80"/>
          <w:sz w:val="22"/>
          <w:szCs w:val="22"/>
          <w:lang w:eastAsia="en-US"/>
        </w:rPr>
        <w:t xml:space="preserve">The companion to language assessment </w:t>
      </w:r>
      <w:r w:rsidRPr="00A6527F">
        <w:rPr>
          <w:rFonts w:eastAsia="Calibri" w:cs="Calibri"/>
          <w:color w:val="1F3864" w:themeColor="accent5" w:themeShade="80"/>
          <w:sz w:val="22"/>
          <w:szCs w:val="22"/>
          <w:lang w:eastAsia="en-US"/>
        </w:rPr>
        <w:t>(185-200). Wiley. DOI: 10.1002/9781118411360</w:t>
      </w:r>
    </w:p>
    <w:p w14:paraId="3231CC56" w14:textId="3A4ACFAA"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bCs/>
          <w:color w:val="1F3864" w:themeColor="accent5" w:themeShade="80"/>
          <w:sz w:val="22"/>
          <w:szCs w:val="22"/>
          <w:lang w:eastAsia="en-US"/>
        </w:rPr>
        <w:t>Graham, S.</w:t>
      </w:r>
      <w:r w:rsidRPr="00A6527F">
        <w:rPr>
          <w:rFonts w:eastAsia="Calibri" w:cs="Calibri"/>
          <w:color w:val="1F3864" w:themeColor="accent5" w:themeShade="80"/>
          <w:sz w:val="22"/>
          <w:szCs w:val="22"/>
          <w:lang w:eastAsia="en-US"/>
        </w:rPr>
        <w:t xml:space="preserve"> (2002). Experiences of learning French: A snapshot at Years 11, 12 and 13. </w:t>
      </w:r>
      <w:r w:rsidRPr="00A6527F">
        <w:rPr>
          <w:rFonts w:eastAsia="Calibri" w:cs="Calibri"/>
          <w:i/>
          <w:color w:val="1F3864" w:themeColor="accent5" w:themeShade="80"/>
          <w:sz w:val="22"/>
          <w:szCs w:val="22"/>
          <w:lang w:eastAsia="en-US"/>
        </w:rPr>
        <w:t>Language Learning Journal</w:t>
      </w:r>
      <w:r w:rsidRPr="00A6527F">
        <w:rPr>
          <w:rFonts w:eastAsia="Calibri" w:cs="Calibri"/>
          <w:color w:val="1F3864" w:themeColor="accent5" w:themeShade="80"/>
          <w:sz w:val="22"/>
          <w:szCs w:val="22"/>
          <w:lang w:eastAsia="en-US"/>
        </w:rPr>
        <w:t>,</w:t>
      </w:r>
      <w:r w:rsidRPr="00A6527F">
        <w:rPr>
          <w:rFonts w:eastAsia="Calibri" w:cs="Calibri"/>
          <w:b/>
          <w:color w:val="1F3864" w:themeColor="accent5" w:themeShade="80"/>
          <w:sz w:val="22"/>
          <w:szCs w:val="22"/>
          <w:lang w:eastAsia="en-US"/>
        </w:rPr>
        <w:t xml:space="preserve"> </w:t>
      </w:r>
      <w:r w:rsidRPr="00A6527F">
        <w:rPr>
          <w:rFonts w:eastAsia="Calibri" w:cs="Calibri"/>
          <w:i/>
          <w:color w:val="1F3864" w:themeColor="accent5" w:themeShade="80"/>
          <w:sz w:val="22"/>
          <w:szCs w:val="22"/>
          <w:lang w:eastAsia="en-US"/>
        </w:rPr>
        <w:t>25</w:t>
      </w:r>
      <w:r w:rsidR="00A6527F">
        <w:rPr>
          <w:rFonts w:eastAsia="Calibri" w:cs="Calibri"/>
          <w:color w:val="1F3864" w:themeColor="accent5" w:themeShade="80"/>
          <w:sz w:val="22"/>
          <w:szCs w:val="22"/>
          <w:lang w:eastAsia="en-US"/>
        </w:rPr>
        <w:t>, 15-20</w:t>
      </w:r>
      <w:r w:rsidRPr="00A6527F">
        <w:rPr>
          <w:rFonts w:eastAsia="Calibri" w:cs="Calibri"/>
          <w:color w:val="1F3864" w:themeColor="accent5" w:themeShade="80"/>
          <w:sz w:val="22"/>
          <w:szCs w:val="22"/>
          <w:lang w:eastAsia="en-US"/>
        </w:rPr>
        <w:t xml:space="preserve"> 10.1111/j.0026-7902.2004.00224.x</w:t>
      </w:r>
    </w:p>
    <w:p w14:paraId="3B78D795" w14:textId="51BF5414"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J. (2004). </w:t>
      </w:r>
      <w:proofErr w:type="gramStart"/>
      <w:r w:rsidRPr="00A6527F">
        <w:rPr>
          <w:rFonts w:eastAsia="Calibri" w:cs="Calibri"/>
          <w:color w:val="1F3864" w:themeColor="accent5" w:themeShade="80"/>
          <w:sz w:val="22"/>
          <w:szCs w:val="22"/>
          <w:lang w:eastAsia="en-US"/>
        </w:rPr>
        <w:t>Giving up on modern foreign languages?</w:t>
      </w:r>
      <w:proofErr w:type="gramEnd"/>
      <w:r w:rsidRPr="00A6527F">
        <w:rPr>
          <w:rFonts w:eastAsia="Calibri" w:cs="Calibri"/>
          <w:color w:val="1F3864" w:themeColor="accent5" w:themeShade="80"/>
          <w:sz w:val="22"/>
          <w:szCs w:val="22"/>
          <w:lang w:eastAsia="en-US"/>
        </w:rPr>
        <w:t xml:space="preserve"> Students’ perceptions of learning French.  </w:t>
      </w:r>
      <w:r w:rsidRPr="00A6527F">
        <w:rPr>
          <w:rFonts w:eastAsia="Calibri" w:cs="Calibri"/>
          <w:i/>
          <w:color w:val="1F3864" w:themeColor="accent5" w:themeShade="80"/>
          <w:sz w:val="22"/>
          <w:szCs w:val="22"/>
          <w:lang w:eastAsia="en-US"/>
        </w:rPr>
        <w:t>The Modern Language Journal</w:t>
      </w:r>
      <w:r w:rsidR="00A6527F">
        <w:rPr>
          <w:rFonts w:eastAsia="Calibri" w:cs="Calibri"/>
          <w:color w:val="1F3864" w:themeColor="accent5" w:themeShade="80"/>
          <w:sz w:val="22"/>
          <w:szCs w:val="22"/>
          <w:lang w:eastAsia="en-US"/>
        </w:rPr>
        <w:t>, 88, 171-191</w:t>
      </w:r>
    </w:p>
    <w:p w14:paraId="25F34EE4" w14:textId="77777777"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(2018). </w:t>
      </w:r>
      <w:r w:rsidRPr="00A6527F">
        <w:rPr>
          <w:rFonts w:eastAsia="Calibri" w:cs="Calibri"/>
          <w:i/>
          <w:iCs/>
          <w:color w:val="1F3864" w:themeColor="accent5" w:themeShade="80"/>
          <w:sz w:val="22"/>
          <w:szCs w:val="22"/>
          <w:lang w:val="en-US" w:eastAsia="en-US"/>
        </w:rPr>
        <w:t>Motivation for language learning in times of change: A study of adolescent learners of French and German.</w:t>
      </w:r>
      <w:r w:rsidRPr="00A6527F">
        <w:rPr>
          <w:rFonts w:eastAsia="Calibri" w:cs="Calibri"/>
          <w:color w:val="1F3864" w:themeColor="accent5" w:themeShade="80"/>
          <w:sz w:val="22"/>
          <w:szCs w:val="22"/>
          <w:lang w:val="en-US" w:eastAsia="en-US"/>
        </w:rPr>
        <w:t xml:space="preserve"> Paper presented at the BAAL Language Learning and Teaching SIG annual conference, University of Southampton, July 2018.</w:t>
      </w:r>
    </w:p>
    <w:p w14:paraId="0226398E" w14:textId="6936C498"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Graham, S., Courtney, L., </w:t>
      </w:r>
      <w:proofErr w:type="spellStart"/>
      <w:r w:rsidRPr="00A6527F">
        <w:rPr>
          <w:rFonts w:eastAsia="Calibri" w:cs="Calibri"/>
          <w:color w:val="1F3864" w:themeColor="accent5" w:themeShade="80"/>
          <w:sz w:val="22"/>
          <w:szCs w:val="22"/>
          <w:lang w:eastAsia="en-US"/>
        </w:rPr>
        <w:t>Tonkyn</w:t>
      </w:r>
      <w:proofErr w:type="spellEnd"/>
      <w:r w:rsidRPr="00A6527F">
        <w:rPr>
          <w:rFonts w:eastAsia="Calibri" w:cs="Calibri"/>
          <w:color w:val="1F3864" w:themeColor="accent5" w:themeShade="80"/>
          <w:sz w:val="22"/>
          <w:szCs w:val="22"/>
          <w:lang w:eastAsia="en-US"/>
        </w:rPr>
        <w:t xml:space="preserve">, A., </w:t>
      </w:r>
      <w:proofErr w:type="spellStart"/>
      <w:r w:rsidRPr="00A6527F">
        <w:rPr>
          <w:rFonts w:eastAsia="Calibri" w:cs="Calibri"/>
          <w:color w:val="1F3864" w:themeColor="accent5" w:themeShade="80"/>
          <w:sz w:val="22"/>
          <w:szCs w:val="22"/>
          <w:lang w:eastAsia="en-US"/>
        </w:rPr>
        <w:t>Marinis</w:t>
      </w:r>
      <w:proofErr w:type="spellEnd"/>
      <w:r w:rsidRPr="00A6527F">
        <w:rPr>
          <w:rFonts w:eastAsia="Calibri" w:cs="Calibri"/>
          <w:color w:val="1F3864" w:themeColor="accent5" w:themeShade="80"/>
          <w:sz w:val="22"/>
          <w:szCs w:val="22"/>
          <w:lang w:eastAsia="en-US"/>
        </w:rPr>
        <w:t xml:space="preserve">, T. (2016). Motivational trajectories for early language learning across the primary-secondary school transition. </w:t>
      </w:r>
      <w:r w:rsidRPr="00A6527F">
        <w:rPr>
          <w:rFonts w:eastAsia="Calibri" w:cs="Calibri"/>
          <w:i/>
          <w:iCs/>
          <w:color w:val="1F3864" w:themeColor="accent5" w:themeShade="80"/>
          <w:sz w:val="22"/>
          <w:szCs w:val="22"/>
          <w:lang w:eastAsia="en-US"/>
        </w:rPr>
        <w:t xml:space="preserve">British Educational Research Journal, 42/4, </w:t>
      </w:r>
      <w:r w:rsidR="00A6527F">
        <w:rPr>
          <w:rFonts w:eastAsia="Calibri" w:cs="Calibri"/>
          <w:color w:val="1F3864" w:themeColor="accent5" w:themeShade="80"/>
          <w:sz w:val="22"/>
          <w:szCs w:val="22"/>
          <w:lang w:eastAsia="en-US"/>
        </w:rPr>
        <w:t>682–702</w:t>
      </w:r>
      <w:r w:rsidRPr="00A6527F">
        <w:rPr>
          <w:rFonts w:eastAsia="Calibri" w:cs="Calibri"/>
          <w:color w:val="1F3864" w:themeColor="accent5" w:themeShade="80"/>
          <w:sz w:val="22"/>
          <w:szCs w:val="22"/>
          <w:lang w:eastAsia="en-US"/>
        </w:rPr>
        <w:t xml:space="preserve"> doi:10.1002/berj.3230</w:t>
      </w:r>
    </w:p>
    <w:p w14:paraId="0F7A9CF5"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bCs/>
          <w:color w:val="1F3864" w:themeColor="accent5" w:themeShade="80"/>
          <w:sz w:val="22"/>
          <w:szCs w:val="22"/>
          <w:lang w:eastAsia="en-GB"/>
        </w:rPr>
        <w:t>Graham, S.,</w:t>
      </w:r>
      <w:r w:rsidRPr="00A6527F">
        <w:rPr>
          <w:rFonts w:eastAsia="Calibri" w:cs="Calibri"/>
          <w:color w:val="1F3864" w:themeColor="accent5" w:themeShade="80"/>
          <w:sz w:val="22"/>
          <w:szCs w:val="22"/>
          <w:lang w:eastAsia="en-GB"/>
        </w:rPr>
        <w:t xml:space="preserve"> &amp; </w:t>
      </w:r>
      <w:proofErr w:type="spellStart"/>
      <w:r w:rsidRPr="00A6527F">
        <w:rPr>
          <w:rFonts w:eastAsia="Calibri" w:cs="Calibri"/>
          <w:color w:val="1F3864" w:themeColor="accent5" w:themeShade="80"/>
          <w:sz w:val="22"/>
          <w:szCs w:val="22"/>
          <w:lang w:eastAsia="en-GB"/>
        </w:rPr>
        <w:t>Macaro</w:t>
      </w:r>
      <w:proofErr w:type="spellEnd"/>
      <w:r w:rsidRPr="00A6527F">
        <w:rPr>
          <w:rFonts w:eastAsia="Calibri" w:cs="Calibri"/>
          <w:color w:val="1F3864" w:themeColor="accent5" w:themeShade="80"/>
          <w:sz w:val="22"/>
          <w:szCs w:val="22"/>
          <w:lang w:eastAsia="en-GB"/>
        </w:rPr>
        <w:t xml:space="preserve">, E.  (2008). </w:t>
      </w:r>
      <w:r w:rsidRPr="00A6527F">
        <w:rPr>
          <w:rFonts w:eastAsia="Calibri" w:cs="Calibri"/>
          <w:color w:val="1F3864" w:themeColor="accent5" w:themeShade="80"/>
          <w:sz w:val="22"/>
          <w:szCs w:val="22"/>
          <w:lang w:eastAsia="en-US"/>
        </w:rPr>
        <w:t xml:space="preserve">Strategy instruction in listening for lower-intermediate learners of French.  </w:t>
      </w:r>
      <w:r w:rsidRPr="00A6527F">
        <w:rPr>
          <w:rFonts w:eastAsia="Calibri" w:cs="Calibri"/>
          <w:i/>
          <w:color w:val="1F3864" w:themeColor="accent5" w:themeShade="80"/>
          <w:sz w:val="22"/>
          <w:szCs w:val="22"/>
          <w:lang w:eastAsia="en-US"/>
        </w:rPr>
        <w:t>Language Learning,</w:t>
      </w:r>
      <w:r w:rsidRPr="00A6527F">
        <w:rPr>
          <w:rFonts w:eastAsia="Calibri" w:cs="Calibri"/>
          <w:color w:val="1F3864" w:themeColor="accent5" w:themeShade="80"/>
          <w:sz w:val="22"/>
          <w:szCs w:val="22"/>
          <w:lang w:eastAsia="en-US"/>
        </w:rPr>
        <w:t xml:space="preserve"> </w:t>
      </w:r>
      <w:r w:rsidRPr="00A6527F">
        <w:rPr>
          <w:rFonts w:eastAsia="Calibri" w:cs="Calibri"/>
          <w:i/>
          <w:color w:val="1F3864" w:themeColor="accent5" w:themeShade="80"/>
          <w:sz w:val="22"/>
          <w:szCs w:val="22"/>
          <w:lang w:eastAsia="en-US"/>
        </w:rPr>
        <w:t>58</w:t>
      </w:r>
      <w:r w:rsidRPr="00A6527F">
        <w:rPr>
          <w:rFonts w:eastAsia="Calibri" w:cs="Calibri"/>
          <w:color w:val="1F3864" w:themeColor="accent5" w:themeShade="80"/>
          <w:sz w:val="22"/>
          <w:szCs w:val="22"/>
          <w:lang w:eastAsia="en-US"/>
        </w:rPr>
        <w:t>, 747-783</w:t>
      </w:r>
    </w:p>
    <w:p w14:paraId="64F13651" w14:textId="0C743A41" w:rsidR="00677651" w:rsidRPr="00A6527F" w:rsidRDefault="00677651" w:rsidP="00677651">
      <w:pPr>
        <w:spacing w:line="240" w:lineRule="auto"/>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Hofweber</w:t>
      </w:r>
      <w:proofErr w:type="spellEnd"/>
      <w:r w:rsidRPr="00A6527F">
        <w:rPr>
          <w:rFonts w:eastAsia="Calibri" w:cs="Calibri"/>
          <w:color w:val="1F3864" w:themeColor="accent5" w:themeShade="80"/>
          <w:sz w:val="22"/>
          <w:szCs w:val="22"/>
          <w:lang w:eastAsia="en-US"/>
        </w:rPr>
        <w:t xml:space="preserve">, J., &amp; Graham, S. (2017). Linguistic creativity in language learning: Investigating the impact of creative text materials and teaching approaches in the second language classroom. </w:t>
      </w:r>
      <w:r w:rsidRPr="00A6527F">
        <w:rPr>
          <w:rFonts w:eastAsia="Calibri" w:cs="Calibri"/>
          <w:i/>
          <w:iCs/>
          <w:color w:val="1F3864" w:themeColor="accent5" w:themeShade="80"/>
          <w:sz w:val="22"/>
          <w:szCs w:val="22"/>
          <w:lang w:eastAsia="en-US"/>
        </w:rPr>
        <w:t>Scottish Languages Review</w:t>
      </w:r>
      <w:r w:rsidRPr="00A6527F">
        <w:rPr>
          <w:rFonts w:eastAsia="Calibri" w:cs="Calibri"/>
          <w:color w:val="1F3864" w:themeColor="accent5" w:themeShade="80"/>
          <w:sz w:val="22"/>
          <w:szCs w:val="22"/>
          <w:lang w:eastAsia="en-US"/>
        </w:rPr>
        <w:t>, 33, 19-28</w:t>
      </w:r>
      <w:r w:rsidR="00A6527F">
        <w:rPr>
          <w:rFonts w:eastAsia="Calibri" w:cs="Calibri"/>
          <w:color w:val="1F3864" w:themeColor="accent5" w:themeShade="80"/>
          <w:sz w:val="22"/>
          <w:szCs w:val="22"/>
          <w:lang w:eastAsia="en-US"/>
        </w:rPr>
        <w:t xml:space="preserve">, </w:t>
      </w:r>
      <w:hyperlink r:id="rId8" w:history="1">
        <w:r w:rsidRPr="00A6527F">
          <w:rPr>
            <w:rFonts w:eastAsia="Calibri" w:cs="Calibri"/>
            <w:color w:val="1F3864" w:themeColor="accent5" w:themeShade="80"/>
            <w:sz w:val="22"/>
            <w:szCs w:val="22"/>
            <w:u w:val="single"/>
            <w:lang w:eastAsia="en-US"/>
          </w:rPr>
          <w:t>https://www.scilt.org.uk/Portals/24/Library/slr/issues/33/33-02%20Hofweber-Graham.pdf</w:t>
        </w:r>
      </w:hyperlink>
    </w:p>
    <w:p w14:paraId="14BDC095"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Huang, S., </w:t>
      </w:r>
      <w:proofErr w:type="spellStart"/>
      <w:r w:rsidRPr="00A6527F">
        <w:rPr>
          <w:rFonts w:eastAsia="Calibri" w:cs="Calibri"/>
          <w:color w:val="1F3864" w:themeColor="accent5" w:themeShade="80"/>
          <w:sz w:val="22"/>
          <w:szCs w:val="22"/>
          <w:lang w:eastAsia="en-US"/>
        </w:rPr>
        <w:t>Willson</w:t>
      </w:r>
      <w:proofErr w:type="spellEnd"/>
      <w:r w:rsidRPr="00A6527F">
        <w:rPr>
          <w:rFonts w:eastAsia="Calibri" w:cs="Calibri"/>
          <w:color w:val="1F3864" w:themeColor="accent5" w:themeShade="80"/>
          <w:sz w:val="22"/>
          <w:szCs w:val="22"/>
          <w:lang w:eastAsia="en-US"/>
        </w:rPr>
        <w:t xml:space="preserve">, V., &amp; </w:t>
      </w:r>
      <w:proofErr w:type="spellStart"/>
      <w:r w:rsidRPr="00A6527F">
        <w:rPr>
          <w:rFonts w:eastAsia="Calibri" w:cs="Calibri"/>
          <w:color w:val="1F3864" w:themeColor="accent5" w:themeShade="80"/>
          <w:sz w:val="22"/>
          <w:szCs w:val="22"/>
          <w:lang w:eastAsia="en-US"/>
        </w:rPr>
        <w:t>Eslami</w:t>
      </w:r>
      <w:proofErr w:type="spellEnd"/>
      <w:r w:rsidRPr="00A6527F">
        <w:rPr>
          <w:rFonts w:eastAsia="Calibri" w:cs="Calibri"/>
          <w:color w:val="1F3864" w:themeColor="accent5" w:themeShade="80"/>
          <w:sz w:val="22"/>
          <w:szCs w:val="22"/>
          <w:lang w:eastAsia="en-US"/>
        </w:rPr>
        <w:t xml:space="preserve">, Z. (2012). The effects of task involvement load on L2 incidental vocabulary learning: A meta-analytic study. </w:t>
      </w:r>
      <w:r w:rsidRPr="00A6527F">
        <w:rPr>
          <w:rFonts w:eastAsia="Calibri" w:cs="Calibri"/>
          <w:i/>
          <w:iCs/>
          <w:color w:val="1F3864" w:themeColor="accent5" w:themeShade="80"/>
          <w:sz w:val="22"/>
          <w:szCs w:val="22"/>
          <w:lang w:eastAsia="en-US"/>
        </w:rPr>
        <w:t>The Modern Language Journal, 96</w:t>
      </w:r>
      <w:r w:rsidRPr="00A6527F">
        <w:rPr>
          <w:rFonts w:eastAsia="Calibri" w:cs="Calibri"/>
          <w:color w:val="1F3864" w:themeColor="accent5" w:themeShade="80"/>
          <w:sz w:val="22"/>
          <w:szCs w:val="22"/>
          <w:lang w:eastAsia="en-US"/>
        </w:rPr>
        <w:t>, 544-557 DOI: 10.2307/23361715</w:t>
      </w:r>
    </w:p>
    <w:p w14:paraId="4E91D0F8"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Kim, M. (2004). Literature discussions in adult L2 learning. </w:t>
      </w:r>
      <w:r w:rsidRPr="00A6527F">
        <w:rPr>
          <w:rFonts w:eastAsia="Calibri" w:cs="Calibri"/>
          <w:i/>
          <w:iCs/>
          <w:color w:val="1F3864" w:themeColor="accent5" w:themeShade="80"/>
          <w:sz w:val="22"/>
          <w:szCs w:val="22"/>
          <w:lang w:eastAsia="en-US"/>
        </w:rPr>
        <w:t>Language and Education</w:t>
      </w:r>
      <w:r w:rsidRPr="00A6527F">
        <w:rPr>
          <w:rFonts w:eastAsia="Calibri" w:cs="Calibri"/>
          <w:color w:val="1F3864" w:themeColor="accent5" w:themeShade="80"/>
          <w:sz w:val="22"/>
          <w:szCs w:val="22"/>
          <w:lang w:eastAsia="en-US"/>
        </w:rPr>
        <w:t xml:space="preserve">, </w:t>
      </w:r>
      <w:r w:rsidRPr="00A6527F">
        <w:rPr>
          <w:rFonts w:eastAsia="Calibri" w:cs="Calibri"/>
          <w:i/>
          <w:iCs/>
          <w:color w:val="1F3864" w:themeColor="accent5" w:themeShade="80"/>
          <w:sz w:val="22"/>
          <w:szCs w:val="22"/>
          <w:lang w:eastAsia="en-US"/>
        </w:rPr>
        <w:t>18,</w:t>
      </w:r>
      <w:r w:rsidRPr="00A6527F">
        <w:rPr>
          <w:rFonts w:eastAsia="Calibri" w:cs="Calibri"/>
          <w:color w:val="1F3864" w:themeColor="accent5" w:themeShade="80"/>
          <w:sz w:val="22"/>
          <w:szCs w:val="22"/>
          <w:lang w:eastAsia="en-US"/>
        </w:rPr>
        <w:t xml:space="preserve"> 145–166</w:t>
      </w:r>
    </w:p>
    <w:p w14:paraId="4B0AA6D0" w14:textId="77777777" w:rsidR="00677651" w:rsidRPr="00A6527F" w:rsidRDefault="00677651" w:rsidP="00677651">
      <w:pPr>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val="en-US" w:eastAsia="en-US"/>
        </w:rPr>
        <w:t>Laufer</w:t>
      </w:r>
      <w:proofErr w:type="spellEnd"/>
      <w:r w:rsidRPr="00A6527F">
        <w:rPr>
          <w:rFonts w:eastAsia="Calibri" w:cs="Calibri"/>
          <w:color w:val="1F3864" w:themeColor="accent5" w:themeShade="80"/>
          <w:sz w:val="22"/>
          <w:szCs w:val="22"/>
          <w:lang w:val="en-US" w:eastAsia="en-US"/>
        </w:rPr>
        <w:t xml:space="preserve">, B., &amp; </w:t>
      </w:r>
      <w:proofErr w:type="spellStart"/>
      <w:r w:rsidRPr="00A6527F">
        <w:rPr>
          <w:rFonts w:eastAsia="Calibri" w:cs="Calibri"/>
          <w:color w:val="1F3864" w:themeColor="accent5" w:themeShade="80"/>
          <w:sz w:val="22"/>
          <w:szCs w:val="22"/>
          <w:lang w:val="en-US" w:eastAsia="en-US"/>
        </w:rPr>
        <w:t>Hulstijn</w:t>
      </w:r>
      <w:proofErr w:type="spellEnd"/>
      <w:r w:rsidRPr="00A6527F">
        <w:rPr>
          <w:rFonts w:eastAsia="Calibri" w:cs="Calibri"/>
          <w:color w:val="1F3864" w:themeColor="accent5" w:themeShade="80"/>
          <w:sz w:val="22"/>
          <w:szCs w:val="22"/>
          <w:lang w:val="en-US" w:eastAsia="en-US"/>
        </w:rPr>
        <w:t>, J. (2001). Incidental vocabulary acquisition in a second language: The construct of task-induced involvement. </w:t>
      </w:r>
      <w:r w:rsidRPr="00A6527F">
        <w:rPr>
          <w:rFonts w:eastAsia="Calibri" w:cs="Calibri"/>
          <w:i/>
          <w:iCs/>
          <w:color w:val="1F3864" w:themeColor="accent5" w:themeShade="80"/>
          <w:sz w:val="22"/>
          <w:szCs w:val="22"/>
          <w:lang w:val="en-US" w:eastAsia="en-US"/>
        </w:rPr>
        <w:t>Applied Linguistics, 22</w:t>
      </w:r>
      <w:r w:rsidRPr="00A6527F">
        <w:rPr>
          <w:rFonts w:eastAsia="Calibri" w:cs="Calibri"/>
          <w:color w:val="1F3864" w:themeColor="accent5" w:themeShade="80"/>
          <w:sz w:val="22"/>
          <w:szCs w:val="22"/>
          <w:lang w:val="en-US" w:eastAsia="en-US"/>
        </w:rPr>
        <w:t>, 1-26</w:t>
      </w:r>
    </w:p>
    <w:p w14:paraId="72AE68E7" w14:textId="77777777" w:rsidR="00677651" w:rsidRPr="00A6527F" w:rsidRDefault="00677651" w:rsidP="00677651">
      <w:pPr>
        <w:rPr>
          <w:rFonts w:eastAsia="Calibri" w:cs="Calibri"/>
          <w:color w:val="1F3864" w:themeColor="accent5" w:themeShade="80"/>
          <w:sz w:val="22"/>
          <w:szCs w:val="22"/>
          <w:shd w:val="clear" w:color="auto" w:fill="FFFFFF"/>
          <w:lang w:eastAsia="en-US"/>
        </w:rPr>
      </w:pPr>
      <w:proofErr w:type="spellStart"/>
      <w:r w:rsidRPr="00A6527F">
        <w:rPr>
          <w:rFonts w:eastAsia="Calibri" w:cs="Calibri"/>
          <w:color w:val="1F3864" w:themeColor="accent5" w:themeShade="80"/>
          <w:sz w:val="22"/>
          <w:szCs w:val="22"/>
          <w:shd w:val="clear" w:color="auto" w:fill="FFFFFF"/>
          <w:lang w:eastAsia="en-US"/>
        </w:rPr>
        <w:t>Macaro</w:t>
      </w:r>
      <w:proofErr w:type="spellEnd"/>
      <w:r w:rsidRPr="00A6527F">
        <w:rPr>
          <w:rFonts w:eastAsia="Calibri" w:cs="Calibri"/>
          <w:color w:val="1F3864" w:themeColor="accent5" w:themeShade="80"/>
          <w:sz w:val="22"/>
          <w:szCs w:val="22"/>
          <w:shd w:val="clear" w:color="auto" w:fill="FFFFFF"/>
          <w:lang w:eastAsia="en-US"/>
        </w:rPr>
        <w:t xml:space="preserve">, E. &amp; </w:t>
      </w:r>
      <w:proofErr w:type="spellStart"/>
      <w:r w:rsidRPr="00A6527F">
        <w:rPr>
          <w:rFonts w:eastAsia="Calibri" w:cs="Calibri"/>
          <w:color w:val="1F3864" w:themeColor="accent5" w:themeShade="80"/>
          <w:sz w:val="22"/>
          <w:szCs w:val="22"/>
          <w:shd w:val="clear" w:color="auto" w:fill="FFFFFF"/>
          <w:lang w:eastAsia="en-US"/>
        </w:rPr>
        <w:t>Erler</w:t>
      </w:r>
      <w:proofErr w:type="spellEnd"/>
      <w:r w:rsidRPr="00A6527F">
        <w:rPr>
          <w:rFonts w:eastAsia="Calibri" w:cs="Calibri"/>
          <w:color w:val="1F3864" w:themeColor="accent5" w:themeShade="80"/>
          <w:sz w:val="22"/>
          <w:szCs w:val="22"/>
          <w:shd w:val="clear" w:color="auto" w:fill="FFFFFF"/>
          <w:lang w:eastAsia="en-US"/>
        </w:rPr>
        <w:t>, L. (2008). Raising the achievement of young beginner-readers of French through strategy instruction. </w:t>
      </w:r>
      <w:hyperlink r:id="rId9" w:tgtFrame="_blank" w:history="1">
        <w:r w:rsidRPr="00A6527F">
          <w:rPr>
            <w:rFonts w:eastAsia="Calibri" w:cs="Calibri"/>
            <w:i/>
            <w:iCs/>
            <w:color w:val="1F3864" w:themeColor="accent5" w:themeShade="80"/>
            <w:sz w:val="22"/>
            <w:szCs w:val="22"/>
            <w:u w:val="single"/>
            <w:lang w:eastAsia="en-US"/>
          </w:rPr>
          <w:t>Applied Linguistics</w:t>
        </w:r>
      </w:hyperlink>
      <w:r w:rsidRPr="00A6527F">
        <w:rPr>
          <w:rFonts w:eastAsia="Calibri" w:cs="Calibri"/>
          <w:i/>
          <w:iCs/>
          <w:color w:val="1F3864" w:themeColor="accent5" w:themeShade="80"/>
          <w:sz w:val="22"/>
          <w:szCs w:val="22"/>
          <w:shd w:val="clear" w:color="auto" w:fill="FFFFFF"/>
          <w:lang w:eastAsia="en-US"/>
        </w:rPr>
        <w:t>, 29</w:t>
      </w:r>
      <w:r w:rsidRPr="00A6527F">
        <w:rPr>
          <w:rFonts w:eastAsia="Calibri" w:cs="Calibri"/>
          <w:color w:val="1F3864" w:themeColor="accent5" w:themeShade="80"/>
          <w:sz w:val="22"/>
          <w:szCs w:val="22"/>
          <w:shd w:val="clear" w:color="auto" w:fill="FFFFFF"/>
          <w:lang w:eastAsia="en-US"/>
        </w:rPr>
        <w:t xml:space="preserve">(1), 90-119.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xml:space="preserve">: </w:t>
      </w:r>
      <w:hyperlink r:id="rId10" w:history="1">
        <w:r w:rsidRPr="00A6527F">
          <w:rPr>
            <w:rFonts w:eastAsia="Calibri" w:cs="Calibri"/>
            <w:color w:val="1F3864" w:themeColor="accent5" w:themeShade="80"/>
            <w:sz w:val="22"/>
            <w:szCs w:val="22"/>
            <w:u w:val="single"/>
            <w:shd w:val="clear" w:color="auto" w:fill="FFFFFF"/>
            <w:lang w:eastAsia="en-US"/>
          </w:rPr>
          <w:t>https://doi.org/doi:10.1093/applin/amm023</w:t>
        </w:r>
      </w:hyperlink>
    </w:p>
    <w:p w14:paraId="27FB62FA"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Maxim, H.H. (2002). A study into the feasibility and effects of reading extended authentic discourse in the beginning German language classroom. </w:t>
      </w:r>
      <w:r w:rsidRPr="00A6527F">
        <w:rPr>
          <w:rFonts w:eastAsia="Calibri" w:cs="Calibri"/>
          <w:i/>
          <w:iCs/>
          <w:color w:val="1F3864" w:themeColor="accent5" w:themeShade="80"/>
          <w:sz w:val="22"/>
          <w:szCs w:val="22"/>
          <w:lang w:eastAsia="en-US"/>
        </w:rPr>
        <w:t>The Modern Language Journal, 86,</w:t>
      </w:r>
      <w:r w:rsidRPr="00A6527F">
        <w:rPr>
          <w:rFonts w:eastAsia="Calibri" w:cs="Calibri"/>
          <w:color w:val="1F3864" w:themeColor="accent5" w:themeShade="80"/>
          <w:sz w:val="22"/>
          <w:szCs w:val="22"/>
          <w:lang w:eastAsia="en-US"/>
        </w:rPr>
        <w:t xml:space="preserve"> 20-35</w:t>
      </w:r>
    </w:p>
    <w:p w14:paraId="7210CA70" w14:textId="77777777" w:rsidR="00677651" w:rsidRPr="00A6527F" w:rsidRDefault="00677651" w:rsidP="00677651">
      <w:pPr>
        <w:rPr>
          <w:rFonts w:eastAsia="Calibri" w:cs="Calibri"/>
          <w:color w:val="1F3864" w:themeColor="accent5" w:themeShade="80"/>
          <w:sz w:val="22"/>
          <w:szCs w:val="22"/>
          <w:lang w:val="en-US" w:eastAsia="en-US"/>
        </w:rPr>
      </w:pPr>
      <w:proofErr w:type="spellStart"/>
      <w:r w:rsidRPr="00A6527F">
        <w:rPr>
          <w:rFonts w:eastAsia="Calibri" w:cs="Calibri"/>
          <w:color w:val="1F3864" w:themeColor="accent5" w:themeShade="80"/>
          <w:sz w:val="22"/>
          <w:szCs w:val="22"/>
          <w:lang w:val="en-US" w:eastAsia="en-US"/>
        </w:rPr>
        <w:t>Paran</w:t>
      </w:r>
      <w:proofErr w:type="spellEnd"/>
      <w:r w:rsidRPr="00A6527F">
        <w:rPr>
          <w:rFonts w:eastAsia="Calibri" w:cs="Calibri"/>
          <w:color w:val="1F3864" w:themeColor="accent5" w:themeShade="80"/>
          <w:sz w:val="22"/>
          <w:szCs w:val="22"/>
          <w:lang w:val="en-US" w:eastAsia="en-US"/>
        </w:rPr>
        <w:t>, A. (2008). The role of literature in instructed foreign language learning and teaching: An evidence-based survey. </w:t>
      </w:r>
      <w:r w:rsidRPr="00A6527F">
        <w:rPr>
          <w:rFonts w:eastAsia="Calibri" w:cs="Calibri"/>
          <w:i/>
          <w:iCs/>
          <w:color w:val="1F3864" w:themeColor="accent5" w:themeShade="80"/>
          <w:sz w:val="22"/>
          <w:szCs w:val="22"/>
          <w:lang w:val="en-US" w:eastAsia="en-US"/>
        </w:rPr>
        <w:t>Language Teaching, 41,</w:t>
      </w:r>
      <w:r w:rsidRPr="00A6527F">
        <w:rPr>
          <w:rFonts w:eastAsia="Calibri" w:cs="Calibri"/>
          <w:color w:val="1F3864" w:themeColor="accent5" w:themeShade="80"/>
          <w:sz w:val="22"/>
          <w:szCs w:val="22"/>
          <w:lang w:val="en-US" w:eastAsia="en-US"/>
        </w:rPr>
        <w:t xml:space="preserve"> 465-496</w:t>
      </w:r>
    </w:p>
    <w:p w14:paraId="09331EAE" w14:textId="77777777" w:rsidR="00677651" w:rsidRPr="00A6527F" w:rsidRDefault="00677651" w:rsidP="00677651">
      <w:pPr>
        <w:rPr>
          <w:rFonts w:eastAsia="Calibri" w:cs="Calibri"/>
          <w:color w:val="1F3864" w:themeColor="accent5" w:themeShade="80"/>
          <w:sz w:val="22"/>
          <w:szCs w:val="22"/>
          <w:shd w:val="clear" w:color="auto" w:fill="FFFFFF"/>
          <w:lang w:eastAsia="en-US"/>
        </w:rPr>
      </w:pPr>
      <w:proofErr w:type="spellStart"/>
      <w:r w:rsidRPr="00A6527F">
        <w:rPr>
          <w:rFonts w:eastAsia="Calibri" w:cs="Calibri"/>
          <w:color w:val="1F3864" w:themeColor="accent5" w:themeShade="80"/>
          <w:sz w:val="22"/>
          <w:szCs w:val="22"/>
          <w:shd w:val="clear" w:color="auto" w:fill="FFFFFF"/>
          <w:lang w:eastAsia="en-US"/>
        </w:rPr>
        <w:t>Plonsky</w:t>
      </w:r>
      <w:proofErr w:type="spellEnd"/>
      <w:r w:rsidRPr="00A6527F">
        <w:rPr>
          <w:rFonts w:eastAsia="Calibri" w:cs="Calibri"/>
          <w:color w:val="1F3864" w:themeColor="accent5" w:themeShade="80"/>
          <w:sz w:val="22"/>
          <w:szCs w:val="22"/>
          <w:shd w:val="clear" w:color="auto" w:fill="FFFFFF"/>
          <w:lang w:eastAsia="en-US"/>
        </w:rPr>
        <w:t>, L. (2011). The effectiveness of second language strategy instruction: A meta-analysis. </w:t>
      </w:r>
      <w:hyperlink r:id="rId11" w:tgtFrame="_blank" w:history="1">
        <w:r w:rsidRPr="00A6527F">
          <w:rPr>
            <w:rFonts w:eastAsia="Calibri" w:cs="Calibri"/>
            <w:i/>
            <w:iCs/>
            <w:color w:val="1F3864" w:themeColor="accent5" w:themeShade="80"/>
            <w:sz w:val="22"/>
            <w:szCs w:val="22"/>
            <w:u w:val="single"/>
            <w:lang w:eastAsia="en-US"/>
          </w:rPr>
          <w:t>Language Learning</w:t>
        </w:r>
      </w:hyperlink>
      <w:r w:rsidRPr="00A6527F">
        <w:rPr>
          <w:rFonts w:eastAsia="Calibri" w:cs="Calibri"/>
          <w:i/>
          <w:iCs/>
          <w:color w:val="1F3864" w:themeColor="accent5" w:themeShade="80"/>
          <w:sz w:val="22"/>
          <w:szCs w:val="22"/>
          <w:shd w:val="clear" w:color="auto" w:fill="FFFFFF"/>
          <w:lang w:eastAsia="en-US"/>
        </w:rPr>
        <w:t>, 61</w:t>
      </w:r>
      <w:r w:rsidRPr="00A6527F">
        <w:rPr>
          <w:rFonts w:eastAsia="Calibri" w:cs="Calibri"/>
          <w:color w:val="1F3864" w:themeColor="accent5" w:themeShade="80"/>
          <w:sz w:val="22"/>
          <w:szCs w:val="22"/>
          <w:shd w:val="clear" w:color="auto" w:fill="FFFFFF"/>
          <w:lang w:eastAsia="en-US"/>
        </w:rPr>
        <w:t xml:space="preserve">(4), 993-1038.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https:// doi.org/10.1111/j.1467-9922.2011.00663.x</w:t>
      </w:r>
    </w:p>
    <w:p w14:paraId="092CB395" w14:textId="77777777" w:rsidR="00677651" w:rsidRPr="00A6527F" w:rsidRDefault="00677651" w:rsidP="00677651">
      <w:pPr>
        <w:rPr>
          <w:rFonts w:eastAsia="Calibri" w:cs="Calibri"/>
          <w:color w:val="1F3864" w:themeColor="accent5" w:themeShade="80"/>
          <w:sz w:val="22"/>
          <w:szCs w:val="22"/>
          <w:lang w:val="en-US" w:eastAsia="en-US"/>
        </w:rPr>
      </w:pPr>
      <w:proofErr w:type="spellStart"/>
      <w:r w:rsidRPr="00A6527F">
        <w:rPr>
          <w:rFonts w:eastAsia="Calibri" w:cs="Calibri"/>
          <w:color w:val="1F3864" w:themeColor="accent5" w:themeShade="80"/>
          <w:sz w:val="22"/>
          <w:szCs w:val="22"/>
          <w:shd w:val="clear" w:color="auto" w:fill="FFFFFF"/>
          <w:lang w:eastAsia="en-US"/>
        </w:rPr>
        <w:t>Plonsky</w:t>
      </w:r>
      <w:proofErr w:type="spellEnd"/>
      <w:r w:rsidRPr="00A6527F">
        <w:rPr>
          <w:rFonts w:eastAsia="Calibri" w:cs="Calibri"/>
          <w:color w:val="1F3864" w:themeColor="accent5" w:themeShade="80"/>
          <w:sz w:val="22"/>
          <w:szCs w:val="22"/>
          <w:shd w:val="clear" w:color="auto" w:fill="FFFFFF"/>
          <w:lang w:eastAsia="en-US"/>
        </w:rPr>
        <w:t xml:space="preserve">, L. (2019).   </w:t>
      </w:r>
      <w:proofErr w:type="gramStart"/>
      <w:r w:rsidRPr="00A6527F">
        <w:rPr>
          <w:rFonts w:eastAsia="Calibri" w:cs="Calibri"/>
          <w:color w:val="1F3864" w:themeColor="accent5" w:themeShade="80"/>
          <w:sz w:val="22"/>
          <w:szCs w:val="22"/>
          <w:shd w:val="clear" w:color="auto" w:fill="FFFFFF"/>
          <w:lang w:eastAsia="en-US"/>
        </w:rPr>
        <w:t>Language learning strategy instruction</w:t>
      </w:r>
      <w:proofErr w:type="gramEnd"/>
      <w:r w:rsidRPr="00A6527F">
        <w:rPr>
          <w:rFonts w:eastAsia="Calibri" w:cs="Calibri"/>
          <w:color w:val="1F3864" w:themeColor="accent5" w:themeShade="80"/>
          <w:sz w:val="22"/>
          <w:szCs w:val="22"/>
          <w:shd w:val="clear" w:color="auto" w:fill="FFFFFF"/>
          <w:lang w:eastAsia="en-US"/>
        </w:rPr>
        <w:t xml:space="preserve">: Recent research and future directions. In </w:t>
      </w:r>
      <w:proofErr w:type="spellStart"/>
      <w:r w:rsidRPr="00A6527F">
        <w:rPr>
          <w:rFonts w:eastAsia="Calibri" w:cs="Calibri"/>
          <w:color w:val="1F3864" w:themeColor="accent5" w:themeShade="80"/>
          <w:sz w:val="22"/>
          <w:szCs w:val="22"/>
          <w:shd w:val="clear" w:color="auto" w:fill="FFFFFF"/>
          <w:lang w:eastAsia="en-US"/>
        </w:rPr>
        <w:t>A.U.Chamot</w:t>
      </w:r>
      <w:proofErr w:type="spellEnd"/>
      <w:r w:rsidRPr="00A6527F">
        <w:rPr>
          <w:rFonts w:eastAsia="Calibri" w:cs="Calibri"/>
          <w:color w:val="1F3864" w:themeColor="accent5" w:themeShade="80"/>
          <w:sz w:val="22"/>
          <w:szCs w:val="22"/>
          <w:shd w:val="clear" w:color="auto" w:fill="FFFFFF"/>
          <w:lang w:eastAsia="en-US"/>
        </w:rPr>
        <w:t xml:space="preserve"> &amp; V. Harris (Eds.)</w:t>
      </w:r>
      <w:r w:rsidRPr="00A6527F">
        <w:rPr>
          <w:rFonts w:eastAsia="Calibri" w:cs="Calibri"/>
          <w:i/>
          <w:iCs/>
          <w:color w:val="1F3864" w:themeColor="accent5" w:themeShade="80"/>
          <w:sz w:val="22"/>
          <w:szCs w:val="22"/>
          <w:shd w:val="clear" w:color="auto" w:fill="FFFFFF"/>
          <w:lang w:eastAsia="en-US"/>
        </w:rPr>
        <w:t xml:space="preserve"> Learning strategy instruction in the language classroom. Issues and implementation</w:t>
      </w:r>
      <w:r w:rsidRPr="00A6527F">
        <w:rPr>
          <w:rFonts w:eastAsia="Calibri" w:cs="Calibri"/>
          <w:color w:val="1F3864" w:themeColor="accent5" w:themeShade="80"/>
          <w:sz w:val="22"/>
          <w:szCs w:val="22"/>
          <w:shd w:val="clear" w:color="auto" w:fill="FFFFFF"/>
          <w:lang w:eastAsia="en-US"/>
        </w:rPr>
        <w:t xml:space="preserve"> (pp. 3-21). Bristol, UK: Multilingual Matters.</w:t>
      </w:r>
    </w:p>
    <w:p w14:paraId="12F221B7" w14:textId="77777777"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val="en-US" w:eastAsia="en-US"/>
        </w:rPr>
        <w:t>Scott, V. M., &amp; Huntington, J. A. (2002). Reading culture: Using literature to develop C2 competence. </w:t>
      </w:r>
      <w:r w:rsidRPr="00A6527F">
        <w:rPr>
          <w:rFonts w:eastAsia="Calibri" w:cs="Calibri"/>
          <w:i/>
          <w:iCs/>
          <w:color w:val="1F3864" w:themeColor="accent5" w:themeShade="80"/>
          <w:sz w:val="22"/>
          <w:szCs w:val="22"/>
          <w:lang w:val="en-US" w:eastAsia="en-US"/>
        </w:rPr>
        <w:t>Foreign Language Annals, 35</w:t>
      </w:r>
      <w:r w:rsidRPr="00A6527F">
        <w:rPr>
          <w:rFonts w:eastAsia="Calibri" w:cs="Calibri"/>
          <w:color w:val="1F3864" w:themeColor="accent5" w:themeShade="80"/>
          <w:sz w:val="22"/>
          <w:szCs w:val="22"/>
          <w:lang w:val="en-US" w:eastAsia="en-US"/>
        </w:rPr>
        <w:t>, 622-631</w:t>
      </w:r>
    </w:p>
    <w:p w14:paraId="6E042100" w14:textId="77777777" w:rsidR="00677651" w:rsidRPr="00A6527F" w:rsidRDefault="00677651" w:rsidP="00677651">
      <w:pPr>
        <w:rPr>
          <w:rFonts w:eastAsia="Calibri" w:cs="Calibri"/>
          <w:color w:val="1F3864" w:themeColor="accent5" w:themeShade="80"/>
          <w:sz w:val="22"/>
          <w:szCs w:val="22"/>
          <w:shd w:val="clear" w:color="auto" w:fill="FFFFFF"/>
          <w:lang w:eastAsia="en-US"/>
        </w:rPr>
      </w:pPr>
      <w:r w:rsidRPr="00A6527F">
        <w:rPr>
          <w:rFonts w:eastAsia="Calibri" w:cs="Calibri"/>
          <w:color w:val="1F3864" w:themeColor="accent5" w:themeShade="80"/>
          <w:sz w:val="22"/>
          <w:szCs w:val="22"/>
          <w:shd w:val="clear" w:color="auto" w:fill="FFFFFF"/>
          <w:lang w:eastAsia="en-US"/>
        </w:rPr>
        <w:t>Schmitt, N. (2008). Review article: Instructed second language vocabulary learning. </w:t>
      </w:r>
      <w:hyperlink r:id="rId12" w:tgtFrame="_blank" w:history="1">
        <w:r w:rsidRPr="00A6527F">
          <w:rPr>
            <w:rFonts w:eastAsia="Calibri" w:cs="Calibri"/>
            <w:i/>
            <w:iCs/>
            <w:color w:val="1F3864" w:themeColor="accent5" w:themeShade="80"/>
            <w:sz w:val="22"/>
            <w:szCs w:val="22"/>
            <w:u w:val="single"/>
            <w:lang w:eastAsia="en-US"/>
          </w:rPr>
          <w:t>Language Teaching Research</w:t>
        </w:r>
      </w:hyperlink>
      <w:r w:rsidRPr="00A6527F">
        <w:rPr>
          <w:rFonts w:eastAsia="Calibri" w:cs="Calibri"/>
          <w:i/>
          <w:iCs/>
          <w:color w:val="1F3864" w:themeColor="accent5" w:themeShade="80"/>
          <w:sz w:val="22"/>
          <w:szCs w:val="22"/>
          <w:shd w:val="clear" w:color="auto" w:fill="FFFFFF"/>
          <w:lang w:eastAsia="en-US"/>
        </w:rPr>
        <w:t>, 12</w:t>
      </w:r>
      <w:r w:rsidRPr="00A6527F">
        <w:rPr>
          <w:rFonts w:eastAsia="Calibri" w:cs="Calibri"/>
          <w:color w:val="1F3864" w:themeColor="accent5" w:themeShade="80"/>
          <w:sz w:val="22"/>
          <w:szCs w:val="22"/>
          <w:shd w:val="clear" w:color="auto" w:fill="FFFFFF"/>
          <w:lang w:eastAsia="en-US"/>
        </w:rPr>
        <w:t xml:space="preserve">(3), 329-363. </w:t>
      </w:r>
      <w:proofErr w:type="spellStart"/>
      <w:proofErr w:type="gramStart"/>
      <w:r w:rsidRPr="00A6527F">
        <w:rPr>
          <w:rFonts w:eastAsia="Calibri" w:cs="Calibri"/>
          <w:color w:val="1F3864" w:themeColor="accent5" w:themeShade="80"/>
          <w:sz w:val="22"/>
          <w:szCs w:val="22"/>
          <w:shd w:val="clear" w:color="auto" w:fill="FFFFFF"/>
          <w:lang w:eastAsia="en-US"/>
        </w:rPr>
        <w:t>doi</w:t>
      </w:r>
      <w:proofErr w:type="spellEnd"/>
      <w:proofErr w:type="gramEnd"/>
      <w:r w:rsidRPr="00A6527F">
        <w:rPr>
          <w:rFonts w:eastAsia="Calibri" w:cs="Calibri"/>
          <w:color w:val="1F3864" w:themeColor="accent5" w:themeShade="80"/>
          <w:sz w:val="22"/>
          <w:szCs w:val="22"/>
          <w:shd w:val="clear" w:color="auto" w:fill="FFFFFF"/>
          <w:lang w:eastAsia="en-US"/>
        </w:rPr>
        <w:t xml:space="preserve">: </w:t>
      </w:r>
      <w:hyperlink r:id="rId13" w:history="1">
        <w:r w:rsidRPr="00A6527F">
          <w:rPr>
            <w:rFonts w:eastAsia="Calibri" w:cs="Calibri"/>
            <w:color w:val="1F3864" w:themeColor="accent5" w:themeShade="80"/>
            <w:sz w:val="22"/>
            <w:szCs w:val="22"/>
            <w:u w:val="single"/>
            <w:shd w:val="clear" w:color="auto" w:fill="FFFFFF"/>
            <w:lang w:eastAsia="en-US"/>
          </w:rPr>
          <w:t>https://doi.org/10.1177/1362168808089921</w:t>
        </w:r>
      </w:hyperlink>
    </w:p>
    <w:p w14:paraId="2F72EDB2" w14:textId="266F343B"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Taylor, A. M. (2014). L1 glossing and strategy training for improving L2 reading comprehension: A meta-analysis. </w:t>
      </w:r>
      <w:r w:rsidRPr="00A6527F">
        <w:rPr>
          <w:rFonts w:eastAsia="Calibri" w:cs="Calibri"/>
          <w:i/>
          <w:iCs/>
          <w:color w:val="1F3864" w:themeColor="accent5" w:themeShade="80"/>
          <w:sz w:val="22"/>
          <w:szCs w:val="22"/>
          <w:lang w:eastAsia="en-US"/>
        </w:rPr>
        <w:t>International Journal of Quantitative Research in Education, 2</w:t>
      </w:r>
      <w:r w:rsidR="00A6527F">
        <w:rPr>
          <w:rFonts w:eastAsia="Calibri" w:cs="Calibri"/>
          <w:color w:val="1F3864" w:themeColor="accent5" w:themeShade="80"/>
          <w:sz w:val="22"/>
          <w:szCs w:val="22"/>
          <w:lang w:eastAsia="en-US"/>
        </w:rPr>
        <w:t>, 39–68</w:t>
      </w:r>
      <w:r w:rsidRPr="00A6527F">
        <w:rPr>
          <w:rFonts w:eastAsia="Calibri" w:cs="Calibri"/>
          <w:color w:val="1F3864" w:themeColor="accent5" w:themeShade="80"/>
          <w:sz w:val="22"/>
          <w:szCs w:val="22"/>
          <w:lang w:eastAsia="en-US"/>
        </w:rPr>
        <w:t xml:space="preserve"> doi:10.1504/IJQRE.2014.060973</w:t>
      </w:r>
    </w:p>
    <w:p w14:paraId="67158055" w14:textId="13338C22" w:rsidR="00677651" w:rsidRPr="00A6527F" w:rsidRDefault="00677651" w:rsidP="00677651">
      <w:pPr>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shd w:val="clear" w:color="auto" w:fill="FFFFFF"/>
          <w:lang w:eastAsia="en-US"/>
        </w:rPr>
        <w:lastRenderedPageBreak/>
        <w:t>Taylor, F. &amp; Marsden, E. (2014). Perceptions, attitudes, and choosing to study foreign languages in England: An experimental intervention. </w:t>
      </w:r>
      <w:hyperlink r:id="rId14" w:tgtFrame="_blank" w:history="1">
        <w:r w:rsidRPr="00A6527F">
          <w:rPr>
            <w:rFonts w:eastAsia="Calibri" w:cs="Calibri"/>
            <w:i/>
            <w:iCs/>
            <w:color w:val="1F3864" w:themeColor="accent5" w:themeShade="80"/>
            <w:sz w:val="22"/>
            <w:szCs w:val="22"/>
            <w:u w:val="single"/>
            <w:lang w:eastAsia="en-US"/>
          </w:rPr>
          <w:t>The Modern Language Journal</w:t>
        </w:r>
      </w:hyperlink>
      <w:r w:rsidRPr="00A6527F">
        <w:rPr>
          <w:rFonts w:eastAsia="Calibri" w:cs="Calibri"/>
          <w:i/>
          <w:iCs/>
          <w:color w:val="1F3864" w:themeColor="accent5" w:themeShade="80"/>
          <w:sz w:val="22"/>
          <w:szCs w:val="22"/>
          <w:shd w:val="clear" w:color="auto" w:fill="FFFFFF"/>
          <w:lang w:eastAsia="en-US"/>
        </w:rPr>
        <w:t>, 98</w:t>
      </w:r>
      <w:r w:rsidRPr="00A6527F">
        <w:rPr>
          <w:rFonts w:eastAsia="Calibri" w:cs="Calibri"/>
          <w:color w:val="1F3864" w:themeColor="accent5" w:themeShade="80"/>
          <w:sz w:val="22"/>
          <w:szCs w:val="22"/>
          <w:shd w:val="clear" w:color="auto" w:fill="FFFFFF"/>
          <w:lang w:eastAsia="en-US"/>
        </w:rPr>
        <w:t xml:space="preserve">(4), 902-920 </w:t>
      </w:r>
      <w:proofErr w:type="spellStart"/>
      <w:r w:rsidRPr="00A6527F">
        <w:rPr>
          <w:rFonts w:eastAsia="Calibri" w:cs="Calibri"/>
          <w:color w:val="1F3864" w:themeColor="accent5" w:themeShade="80"/>
          <w:sz w:val="22"/>
          <w:szCs w:val="22"/>
          <w:shd w:val="clear" w:color="auto" w:fill="FFFFFF"/>
          <w:lang w:eastAsia="en-US"/>
        </w:rPr>
        <w:t>doi</w:t>
      </w:r>
      <w:proofErr w:type="spellEnd"/>
      <w:r w:rsidRPr="00A6527F">
        <w:rPr>
          <w:rFonts w:eastAsia="Calibri" w:cs="Calibri"/>
          <w:color w:val="1F3864" w:themeColor="accent5" w:themeShade="80"/>
          <w:sz w:val="22"/>
          <w:szCs w:val="22"/>
          <w:shd w:val="clear" w:color="auto" w:fill="FFFFFF"/>
          <w:lang w:eastAsia="en-US"/>
        </w:rPr>
        <w:t>: https://doi.org/10.1111/modl.12146</w:t>
      </w:r>
    </w:p>
    <w:p w14:paraId="3EE91F56" w14:textId="2E34F82D"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Yang, A. (2001). Reading and the non-academic learner: A mystery solved. </w:t>
      </w:r>
      <w:r w:rsidRPr="00A6527F">
        <w:rPr>
          <w:rFonts w:eastAsia="Calibri" w:cs="Calibri"/>
          <w:i/>
          <w:iCs/>
          <w:color w:val="1F3864" w:themeColor="accent5" w:themeShade="80"/>
          <w:sz w:val="22"/>
          <w:szCs w:val="22"/>
          <w:lang w:eastAsia="en-US"/>
        </w:rPr>
        <w:t>System, 8</w:t>
      </w:r>
      <w:r w:rsidR="00A6527F">
        <w:rPr>
          <w:rFonts w:eastAsia="Calibri" w:cs="Calibri"/>
          <w:color w:val="1F3864" w:themeColor="accent5" w:themeShade="80"/>
          <w:sz w:val="22"/>
          <w:szCs w:val="22"/>
          <w:lang w:eastAsia="en-US"/>
        </w:rPr>
        <w:t>, 450–460</w:t>
      </w:r>
    </w:p>
    <w:p w14:paraId="1063F3A5" w14:textId="4199B3D4" w:rsidR="00677651" w:rsidRPr="00A6527F" w:rsidRDefault="00677651" w:rsidP="00677651">
      <w:pPr>
        <w:spacing w:line="240" w:lineRule="auto"/>
        <w:rPr>
          <w:rFonts w:eastAsia="Calibri" w:cs="Calibri"/>
          <w:color w:val="1F3864" w:themeColor="accent5" w:themeShade="80"/>
          <w:sz w:val="22"/>
          <w:szCs w:val="22"/>
          <w:lang w:eastAsia="en-US"/>
        </w:rPr>
      </w:pPr>
      <w:r w:rsidRPr="00A6527F">
        <w:rPr>
          <w:rFonts w:eastAsia="Calibri" w:cs="Calibri"/>
          <w:color w:val="1F3864" w:themeColor="accent5" w:themeShade="80"/>
          <w:sz w:val="22"/>
          <w:szCs w:val="22"/>
          <w:lang w:eastAsia="en-US"/>
        </w:rPr>
        <w:t xml:space="preserve">Yang, A. (2002). Science fiction in the EFL class. </w:t>
      </w:r>
      <w:r w:rsidRPr="00A6527F">
        <w:rPr>
          <w:rFonts w:eastAsia="Calibri" w:cs="Calibri"/>
          <w:i/>
          <w:iCs/>
          <w:color w:val="1F3864" w:themeColor="accent5" w:themeShade="80"/>
          <w:sz w:val="22"/>
          <w:szCs w:val="22"/>
          <w:lang w:eastAsia="en-US"/>
        </w:rPr>
        <w:t>Language, Culture and Curriculum, 5.1</w:t>
      </w:r>
      <w:r w:rsidR="00A6527F">
        <w:rPr>
          <w:rFonts w:eastAsia="Calibri" w:cs="Calibri"/>
          <w:color w:val="1F3864" w:themeColor="accent5" w:themeShade="80"/>
          <w:sz w:val="22"/>
          <w:szCs w:val="22"/>
          <w:lang w:eastAsia="en-US"/>
        </w:rPr>
        <w:t>, 50–60</w:t>
      </w:r>
    </w:p>
    <w:p w14:paraId="6524A1F1" w14:textId="51A28C3F" w:rsidR="009A0D9F" w:rsidRPr="00D63DC1" w:rsidRDefault="00677651" w:rsidP="00D63DC1">
      <w:pPr>
        <w:spacing w:line="240" w:lineRule="auto"/>
        <w:rPr>
          <w:rFonts w:eastAsia="Calibri" w:cs="Calibri"/>
          <w:color w:val="1F3864" w:themeColor="accent5" w:themeShade="80"/>
          <w:sz w:val="22"/>
          <w:szCs w:val="22"/>
          <w:lang w:eastAsia="en-US"/>
        </w:rPr>
      </w:pPr>
      <w:proofErr w:type="spellStart"/>
      <w:r w:rsidRPr="00A6527F">
        <w:rPr>
          <w:rFonts w:eastAsia="Calibri" w:cs="Calibri"/>
          <w:color w:val="1F3864" w:themeColor="accent5" w:themeShade="80"/>
          <w:sz w:val="22"/>
          <w:szCs w:val="22"/>
          <w:lang w:eastAsia="en-US"/>
        </w:rPr>
        <w:t>Woore</w:t>
      </w:r>
      <w:proofErr w:type="spellEnd"/>
      <w:r w:rsidRPr="00A6527F">
        <w:rPr>
          <w:rFonts w:eastAsia="Calibri" w:cs="Calibri"/>
          <w:color w:val="1F3864" w:themeColor="accent5" w:themeShade="80"/>
          <w:sz w:val="22"/>
          <w:szCs w:val="22"/>
          <w:lang w:eastAsia="en-US"/>
        </w:rPr>
        <w:t xml:space="preserve">, R., Graham, S., Porter, A., Courtney, L., </w:t>
      </w:r>
      <w:proofErr w:type="spellStart"/>
      <w:r w:rsidRPr="00A6527F">
        <w:rPr>
          <w:rFonts w:eastAsia="Calibri" w:cs="Calibri"/>
          <w:color w:val="1F3864" w:themeColor="accent5" w:themeShade="80"/>
          <w:sz w:val="22"/>
          <w:szCs w:val="22"/>
          <w:lang w:eastAsia="en-US"/>
        </w:rPr>
        <w:t>Savory</w:t>
      </w:r>
      <w:proofErr w:type="spellEnd"/>
      <w:r w:rsidRPr="00A6527F">
        <w:rPr>
          <w:rFonts w:eastAsia="Calibri" w:cs="Calibri"/>
          <w:color w:val="1F3864" w:themeColor="accent5" w:themeShade="80"/>
          <w:sz w:val="22"/>
          <w:szCs w:val="22"/>
          <w:lang w:eastAsia="en-US"/>
        </w:rPr>
        <w:t xml:space="preserve">, C. (2018). </w:t>
      </w:r>
      <w:r w:rsidRPr="00A6527F">
        <w:rPr>
          <w:rFonts w:eastAsia="Calibri" w:cs="Calibri"/>
          <w:i/>
          <w:iCs/>
          <w:color w:val="1F3864" w:themeColor="accent5" w:themeShade="80"/>
          <w:sz w:val="22"/>
          <w:szCs w:val="22"/>
          <w:lang w:eastAsia="en-US"/>
        </w:rPr>
        <w:t xml:space="preserve">Foreign Language Education: Unlocking Reading (FLEUR). A study into the teaching of reading to beginner learners of French in secondary school. </w:t>
      </w:r>
      <w:r w:rsidRPr="00A6527F">
        <w:rPr>
          <w:rFonts w:eastAsia="Calibri" w:cs="Calibri"/>
          <w:color w:val="1F3864" w:themeColor="accent5" w:themeShade="80"/>
          <w:sz w:val="22"/>
          <w:szCs w:val="22"/>
          <w:lang w:eastAsia="en-US"/>
        </w:rPr>
        <w:t>Final report to the Nuffield Foundation.</w:t>
      </w:r>
    </w:p>
    <w:sectPr w:rsidR="009A0D9F" w:rsidRPr="00D63DC1" w:rsidSect="00A27D29">
      <w:headerReference w:type="default" r:id="rId15"/>
      <w:footerReference w:type="default" r:id="rId16"/>
      <w:pgSz w:w="11906" w:h="16838"/>
      <w:pgMar w:top="709" w:right="566" w:bottom="567" w:left="567" w:header="283"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04E6A" w16cid:durableId="20F7AE36"/>
  <w16cid:commentId w16cid:paraId="5629C352" w16cid:durableId="20F7AE4F"/>
  <w16cid:commentId w16cid:paraId="289D4228" w16cid:durableId="20F7AE37"/>
  <w16cid:commentId w16cid:paraId="33FFB54D" w16cid:durableId="20F7AE38"/>
  <w16cid:commentId w16cid:paraId="30366B5C" w16cid:durableId="20F7AF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70E1" w14:textId="77777777" w:rsidR="008504A0" w:rsidRDefault="008504A0" w:rsidP="00180B91">
      <w:pPr>
        <w:spacing w:after="0" w:line="240" w:lineRule="auto"/>
      </w:pPr>
      <w:r>
        <w:separator/>
      </w:r>
    </w:p>
  </w:endnote>
  <w:endnote w:type="continuationSeparator" w:id="0">
    <w:p w14:paraId="21C60E5C" w14:textId="77777777" w:rsidR="008504A0" w:rsidRDefault="008504A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6AC8" w14:textId="7A453EC9" w:rsidR="00175567" w:rsidRPr="00175567" w:rsidRDefault="00F000A3" w:rsidP="00175567">
    <w:pPr>
      <w:spacing w:after="0" w:line="240" w:lineRule="auto"/>
      <w:jc w:val="right"/>
      <w:rPr>
        <w:rFonts w:eastAsia="+mn-ea" w:cstheme="minorHAnsi"/>
        <w:b/>
        <w:bCs/>
        <w:color w:val="FFFFFF"/>
        <w:kern w:val="24"/>
        <w:u w:val="single"/>
      </w:rPr>
    </w:pPr>
    <w:r w:rsidRPr="00F000A3">
      <w:rPr>
        <w:rFonts w:eastAsia="Batang"/>
        <w:noProof/>
        <w:sz w:val="24"/>
        <w:szCs w:val="22"/>
        <w:lang w:eastAsia="en-GB"/>
      </w:rPr>
      <mc:AlternateContent>
        <mc:Choice Requires="wps">
          <w:drawing>
            <wp:anchor distT="0" distB="0" distL="114300" distR="114300" simplePos="0" relativeHeight="251662336" behindDoc="0" locked="0" layoutInCell="1" allowOverlap="1" wp14:anchorId="4D8692F0" wp14:editId="5059845A">
              <wp:simplePos x="0" y="0"/>
              <wp:positionH relativeFrom="page">
                <wp:posOffset>6024143</wp:posOffset>
              </wp:positionH>
              <wp:positionV relativeFrom="paragraph">
                <wp:posOffset>355887</wp:posOffset>
              </wp:positionV>
              <wp:extent cx="1644445" cy="32815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4445" cy="328152"/>
                      </a:xfrm>
                      <a:prstGeom prst="rect">
                        <a:avLst/>
                      </a:prstGeom>
                      <a:noFill/>
                      <a:ln w="6350">
                        <a:noFill/>
                      </a:ln>
                      <a:effectLst/>
                    </wps:spPr>
                    <wps:txbx>
                      <w:txbxContent>
                        <w:p w14:paraId="1A6FA17F" w14:textId="77777777" w:rsidR="00F000A3" w:rsidRPr="003633C4" w:rsidRDefault="00F000A3" w:rsidP="00F000A3">
                          <w:pPr>
                            <w:rPr>
                              <w:color w:val="FFFFFF" w:themeColor="background1"/>
                              <w:sz w:val="16"/>
                              <w:szCs w:val="16"/>
                            </w:rPr>
                          </w:pPr>
                          <w:r w:rsidRPr="003633C4">
                            <w:rPr>
                              <w:color w:val="FFFFFF" w:themeColor="background1"/>
                              <w:sz w:val="16"/>
                              <w:szCs w:val="16"/>
                            </w:rPr>
                            <w:t>Last updated: 21/11/19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692F0" id="_x0000_t202" coordsize="21600,21600" o:spt="202" path="m,l,21600r21600,l21600,xe">
              <v:stroke joinstyle="miter"/>
              <v:path gradientshapeok="t" o:connecttype="rect"/>
            </v:shapetype>
            <v:shape id="Text Box 2" o:spid="_x0000_s1026" type="#_x0000_t202" style="position:absolute;left:0;text-align:left;margin-left:474.35pt;margin-top:28pt;width:129.5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" filled="f" stroked="f" strokeweight=".5pt">
              <v:textbox>
                <w:txbxContent>
                  <w:p w14:paraId="1A6FA17F" w14:textId="77777777" w:rsidR="00F000A3" w:rsidRPr="003633C4" w:rsidRDefault="00F000A3" w:rsidP="00F000A3">
                    <w:pPr>
                      <w:rPr>
                        <w:color w:val="FFFFFF" w:themeColor="background1"/>
                        <w:sz w:val="16"/>
                        <w:szCs w:val="16"/>
                      </w:rPr>
                    </w:pPr>
                    <w:r w:rsidRPr="003633C4">
                      <w:rPr>
                        <w:color w:val="FFFFFF" w:themeColor="background1"/>
                        <w:sz w:val="16"/>
                        <w:szCs w:val="16"/>
                      </w:rPr>
                      <w:t>Last updated: 21/11/19</w:t>
                    </w:r>
                  </w:p>
                </w:txbxContent>
              </v:textbox>
              <w10:wrap anchorx="page"/>
            </v:shape>
          </w:pict>
        </mc:Fallback>
      </mc:AlternateContent>
    </w:r>
    <w:r w:rsidR="00677651">
      <w:rPr>
        <w:noProof/>
        <w:lang w:eastAsia="en-GB"/>
      </w:rPr>
      <mc:AlternateContent>
        <mc:Choice Requires="wps">
          <w:drawing>
            <wp:anchor distT="0" distB="0" distL="114300" distR="114300" simplePos="0" relativeHeight="251660288" behindDoc="0" locked="0" layoutInCell="1" allowOverlap="1" wp14:anchorId="6E7FEB01" wp14:editId="3C677681">
              <wp:simplePos x="0" y="0"/>
              <wp:positionH relativeFrom="column">
                <wp:posOffset>3125433</wp:posOffset>
              </wp:positionH>
              <wp:positionV relativeFrom="paragraph">
                <wp:posOffset>98649</wp:posOffset>
              </wp:positionV>
              <wp:extent cx="1723464"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3464" cy="342900"/>
                      </a:xfrm>
                      <a:prstGeom prst="rect">
                        <a:avLst/>
                      </a:prstGeom>
                      <a:noFill/>
                      <a:ln w="6350">
                        <a:noFill/>
                      </a:ln>
                      <a:effectLst/>
                    </wps:spPr>
                    <wps:txbx>
                      <w:txbxContent>
                        <w:p w14:paraId="0CB0FA76" w14:textId="77777777" w:rsidR="00A842EA" w:rsidRPr="009A4B6E" w:rsidRDefault="00677651" w:rsidP="00A842EA">
                          <w:pPr>
                            <w:rPr>
                              <w:color w:val="FFFFFF" w:themeColor="background1"/>
                            </w:rPr>
                          </w:pPr>
                          <w:r>
                            <w:rPr>
                              <w:color w:val="FFFFFF" w:themeColor="background1"/>
                            </w:rPr>
                            <w:t>Suzanne Graham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EB01" id="Text Box 1" o:spid="_x0000_s1027" type="#_x0000_t202" style="position:absolute;left:0;text-align:left;margin-left:246.1pt;margin-top:7.75pt;width:13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" filled="f" stroked="f" strokeweight=".5pt">
              <v:textbox>
                <w:txbxContent>
                  <w:p w14:paraId="0CB0FA76" w14:textId="77777777" w:rsidR="00A842EA" w:rsidRPr="009A4B6E" w:rsidRDefault="00677651" w:rsidP="00A842EA">
                    <w:pPr>
                      <w:rPr>
                        <w:color w:val="FFFFFF" w:themeColor="background1"/>
                      </w:rPr>
                    </w:pPr>
                    <w:r>
                      <w:rPr>
                        <w:color w:val="FFFFFF" w:themeColor="background1"/>
                      </w:rPr>
                      <w:t>Suzanne Graham</w:t>
                    </w:r>
                  </w:p>
                </w:txbxContent>
              </v:textbox>
            </v:shape>
          </w:pict>
        </mc:Fallback>
      </mc:AlternateContent>
    </w:r>
    <w:r w:rsidR="00030BB2">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683A177D" wp14:editId="5365AA88">
          <wp:simplePos x="0" y="0"/>
          <wp:positionH relativeFrom="column">
            <wp:posOffset>-356536</wp:posOffset>
          </wp:positionH>
          <wp:positionV relativeFrom="paragraph">
            <wp:posOffset>46990</wp:posOffset>
          </wp:positionV>
          <wp:extent cx="7550751" cy="578485"/>
          <wp:effectExtent l="0" t="0" r="0" b="0"/>
          <wp:wrapNone/>
          <wp:docPr id="8" name="Picture 8" descr="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51"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52DA" w14:textId="77777777" w:rsidR="008504A0" w:rsidRDefault="008504A0" w:rsidP="00180B91">
      <w:pPr>
        <w:spacing w:after="0" w:line="240" w:lineRule="auto"/>
      </w:pPr>
      <w:r>
        <w:separator/>
      </w:r>
    </w:p>
  </w:footnote>
  <w:footnote w:type="continuationSeparator" w:id="0">
    <w:p w14:paraId="06DD4CC3" w14:textId="77777777" w:rsidR="008504A0" w:rsidRDefault="008504A0"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876B"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DAC"/>
    <w:multiLevelType w:val="multilevel"/>
    <w:tmpl w:val="EF94BA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026A36"/>
    <w:multiLevelType w:val="hybridMultilevel"/>
    <w:tmpl w:val="D04CAC7C"/>
    <w:lvl w:ilvl="0" w:tplc="9FA85AC6">
      <w:start w:val="1"/>
      <w:numFmt w:val="decimal"/>
      <w:lvlText w:val="%1."/>
      <w:lvlJc w:val="left"/>
      <w:pPr>
        <w:tabs>
          <w:tab w:val="num" w:pos="720"/>
        </w:tabs>
        <w:ind w:left="720" w:hanging="360"/>
      </w:pPr>
    </w:lvl>
    <w:lvl w:ilvl="1" w:tplc="CDC698F8" w:tentative="1">
      <w:start w:val="1"/>
      <w:numFmt w:val="decimal"/>
      <w:lvlText w:val="%2."/>
      <w:lvlJc w:val="left"/>
      <w:pPr>
        <w:tabs>
          <w:tab w:val="num" w:pos="1440"/>
        </w:tabs>
        <w:ind w:left="1440" w:hanging="360"/>
      </w:pPr>
    </w:lvl>
    <w:lvl w:ilvl="2" w:tplc="F9167CC0" w:tentative="1">
      <w:start w:val="1"/>
      <w:numFmt w:val="decimal"/>
      <w:lvlText w:val="%3."/>
      <w:lvlJc w:val="left"/>
      <w:pPr>
        <w:tabs>
          <w:tab w:val="num" w:pos="2160"/>
        </w:tabs>
        <w:ind w:left="2160" w:hanging="360"/>
      </w:pPr>
    </w:lvl>
    <w:lvl w:ilvl="3" w:tplc="761C70D8" w:tentative="1">
      <w:start w:val="1"/>
      <w:numFmt w:val="decimal"/>
      <w:lvlText w:val="%4."/>
      <w:lvlJc w:val="left"/>
      <w:pPr>
        <w:tabs>
          <w:tab w:val="num" w:pos="2880"/>
        </w:tabs>
        <w:ind w:left="2880" w:hanging="360"/>
      </w:pPr>
    </w:lvl>
    <w:lvl w:ilvl="4" w:tplc="8C2AA49C" w:tentative="1">
      <w:start w:val="1"/>
      <w:numFmt w:val="decimal"/>
      <w:lvlText w:val="%5."/>
      <w:lvlJc w:val="left"/>
      <w:pPr>
        <w:tabs>
          <w:tab w:val="num" w:pos="3600"/>
        </w:tabs>
        <w:ind w:left="3600" w:hanging="360"/>
      </w:pPr>
    </w:lvl>
    <w:lvl w:ilvl="5" w:tplc="76A2CA7E" w:tentative="1">
      <w:start w:val="1"/>
      <w:numFmt w:val="decimal"/>
      <w:lvlText w:val="%6."/>
      <w:lvlJc w:val="left"/>
      <w:pPr>
        <w:tabs>
          <w:tab w:val="num" w:pos="4320"/>
        </w:tabs>
        <w:ind w:left="4320" w:hanging="360"/>
      </w:pPr>
    </w:lvl>
    <w:lvl w:ilvl="6" w:tplc="E8466C3E" w:tentative="1">
      <w:start w:val="1"/>
      <w:numFmt w:val="decimal"/>
      <w:lvlText w:val="%7."/>
      <w:lvlJc w:val="left"/>
      <w:pPr>
        <w:tabs>
          <w:tab w:val="num" w:pos="5040"/>
        </w:tabs>
        <w:ind w:left="5040" w:hanging="360"/>
      </w:pPr>
    </w:lvl>
    <w:lvl w:ilvl="7" w:tplc="E5DAA240" w:tentative="1">
      <w:start w:val="1"/>
      <w:numFmt w:val="decimal"/>
      <w:lvlText w:val="%8."/>
      <w:lvlJc w:val="left"/>
      <w:pPr>
        <w:tabs>
          <w:tab w:val="num" w:pos="5760"/>
        </w:tabs>
        <w:ind w:left="5760" w:hanging="360"/>
      </w:pPr>
    </w:lvl>
    <w:lvl w:ilvl="8" w:tplc="0ADE5AE4" w:tentative="1">
      <w:start w:val="1"/>
      <w:numFmt w:val="decimal"/>
      <w:lvlText w:val="%9."/>
      <w:lvlJc w:val="left"/>
      <w:pPr>
        <w:tabs>
          <w:tab w:val="num" w:pos="6480"/>
        </w:tabs>
        <w:ind w:left="6480" w:hanging="360"/>
      </w:pPr>
    </w:lvl>
  </w:abstractNum>
  <w:abstractNum w:abstractNumId="2" w15:restartNumberingAfterBreak="0">
    <w:nsid w:val="4C3A1ED4"/>
    <w:multiLevelType w:val="hybridMultilevel"/>
    <w:tmpl w:val="B7E8F6EC"/>
    <w:lvl w:ilvl="0" w:tplc="740459AA">
      <w:start w:val="1"/>
      <w:numFmt w:val="bullet"/>
      <w:lvlText w:val="•"/>
      <w:lvlJc w:val="left"/>
      <w:pPr>
        <w:tabs>
          <w:tab w:val="num" w:pos="720"/>
        </w:tabs>
        <w:ind w:left="720" w:hanging="360"/>
      </w:pPr>
      <w:rPr>
        <w:rFonts w:ascii="Arial" w:hAnsi="Arial" w:hint="default"/>
      </w:rPr>
    </w:lvl>
    <w:lvl w:ilvl="1" w:tplc="2F86A262" w:tentative="1">
      <w:start w:val="1"/>
      <w:numFmt w:val="bullet"/>
      <w:lvlText w:val="•"/>
      <w:lvlJc w:val="left"/>
      <w:pPr>
        <w:tabs>
          <w:tab w:val="num" w:pos="1440"/>
        </w:tabs>
        <w:ind w:left="1440" w:hanging="360"/>
      </w:pPr>
      <w:rPr>
        <w:rFonts w:ascii="Arial" w:hAnsi="Arial" w:hint="default"/>
      </w:rPr>
    </w:lvl>
    <w:lvl w:ilvl="2" w:tplc="0F0A57C8" w:tentative="1">
      <w:start w:val="1"/>
      <w:numFmt w:val="bullet"/>
      <w:lvlText w:val="•"/>
      <w:lvlJc w:val="left"/>
      <w:pPr>
        <w:tabs>
          <w:tab w:val="num" w:pos="2160"/>
        </w:tabs>
        <w:ind w:left="2160" w:hanging="360"/>
      </w:pPr>
      <w:rPr>
        <w:rFonts w:ascii="Arial" w:hAnsi="Arial" w:hint="default"/>
      </w:rPr>
    </w:lvl>
    <w:lvl w:ilvl="3" w:tplc="EC0C29AE" w:tentative="1">
      <w:start w:val="1"/>
      <w:numFmt w:val="bullet"/>
      <w:lvlText w:val="•"/>
      <w:lvlJc w:val="left"/>
      <w:pPr>
        <w:tabs>
          <w:tab w:val="num" w:pos="2880"/>
        </w:tabs>
        <w:ind w:left="2880" w:hanging="360"/>
      </w:pPr>
      <w:rPr>
        <w:rFonts w:ascii="Arial" w:hAnsi="Arial" w:hint="default"/>
      </w:rPr>
    </w:lvl>
    <w:lvl w:ilvl="4" w:tplc="75D84AD4" w:tentative="1">
      <w:start w:val="1"/>
      <w:numFmt w:val="bullet"/>
      <w:lvlText w:val="•"/>
      <w:lvlJc w:val="left"/>
      <w:pPr>
        <w:tabs>
          <w:tab w:val="num" w:pos="3600"/>
        </w:tabs>
        <w:ind w:left="3600" w:hanging="360"/>
      </w:pPr>
      <w:rPr>
        <w:rFonts w:ascii="Arial" w:hAnsi="Arial" w:hint="default"/>
      </w:rPr>
    </w:lvl>
    <w:lvl w:ilvl="5" w:tplc="2620E1C8" w:tentative="1">
      <w:start w:val="1"/>
      <w:numFmt w:val="bullet"/>
      <w:lvlText w:val="•"/>
      <w:lvlJc w:val="left"/>
      <w:pPr>
        <w:tabs>
          <w:tab w:val="num" w:pos="4320"/>
        </w:tabs>
        <w:ind w:left="4320" w:hanging="360"/>
      </w:pPr>
      <w:rPr>
        <w:rFonts w:ascii="Arial" w:hAnsi="Arial" w:hint="default"/>
      </w:rPr>
    </w:lvl>
    <w:lvl w:ilvl="6" w:tplc="4DFC2C6A" w:tentative="1">
      <w:start w:val="1"/>
      <w:numFmt w:val="bullet"/>
      <w:lvlText w:val="•"/>
      <w:lvlJc w:val="left"/>
      <w:pPr>
        <w:tabs>
          <w:tab w:val="num" w:pos="5040"/>
        </w:tabs>
        <w:ind w:left="5040" w:hanging="360"/>
      </w:pPr>
      <w:rPr>
        <w:rFonts w:ascii="Arial" w:hAnsi="Arial" w:hint="default"/>
      </w:rPr>
    </w:lvl>
    <w:lvl w:ilvl="7" w:tplc="448613EC" w:tentative="1">
      <w:start w:val="1"/>
      <w:numFmt w:val="bullet"/>
      <w:lvlText w:val="•"/>
      <w:lvlJc w:val="left"/>
      <w:pPr>
        <w:tabs>
          <w:tab w:val="num" w:pos="5760"/>
        </w:tabs>
        <w:ind w:left="5760" w:hanging="360"/>
      </w:pPr>
      <w:rPr>
        <w:rFonts w:ascii="Arial" w:hAnsi="Arial" w:hint="default"/>
      </w:rPr>
    </w:lvl>
    <w:lvl w:ilvl="8" w:tplc="C63EB1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C024E8"/>
    <w:multiLevelType w:val="hybridMultilevel"/>
    <w:tmpl w:val="1892F380"/>
    <w:lvl w:ilvl="0" w:tplc="292ABD1E">
      <w:start w:val="1"/>
      <w:numFmt w:val="bullet"/>
      <w:lvlText w:val=""/>
      <w:lvlJc w:val="left"/>
      <w:pPr>
        <w:tabs>
          <w:tab w:val="num" w:pos="720"/>
        </w:tabs>
        <w:ind w:left="720" w:hanging="360"/>
      </w:pPr>
      <w:rPr>
        <w:rFonts w:ascii="Wingdings" w:hAnsi="Wingdings" w:hint="default"/>
      </w:rPr>
    </w:lvl>
    <w:lvl w:ilvl="1" w:tplc="E18AFF44" w:tentative="1">
      <w:start w:val="1"/>
      <w:numFmt w:val="bullet"/>
      <w:lvlText w:val=""/>
      <w:lvlJc w:val="left"/>
      <w:pPr>
        <w:tabs>
          <w:tab w:val="num" w:pos="1440"/>
        </w:tabs>
        <w:ind w:left="1440" w:hanging="360"/>
      </w:pPr>
      <w:rPr>
        <w:rFonts w:ascii="Wingdings" w:hAnsi="Wingdings" w:hint="default"/>
      </w:rPr>
    </w:lvl>
    <w:lvl w:ilvl="2" w:tplc="6CB842F6" w:tentative="1">
      <w:start w:val="1"/>
      <w:numFmt w:val="bullet"/>
      <w:lvlText w:val=""/>
      <w:lvlJc w:val="left"/>
      <w:pPr>
        <w:tabs>
          <w:tab w:val="num" w:pos="2160"/>
        </w:tabs>
        <w:ind w:left="2160" w:hanging="360"/>
      </w:pPr>
      <w:rPr>
        <w:rFonts w:ascii="Wingdings" w:hAnsi="Wingdings" w:hint="default"/>
      </w:rPr>
    </w:lvl>
    <w:lvl w:ilvl="3" w:tplc="2B7EDC34" w:tentative="1">
      <w:start w:val="1"/>
      <w:numFmt w:val="bullet"/>
      <w:lvlText w:val=""/>
      <w:lvlJc w:val="left"/>
      <w:pPr>
        <w:tabs>
          <w:tab w:val="num" w:pos="2880"/>
        </w:tabs>
        <w:ind w:left="2880" w:hanging="360"/>
      </w:pPr>
      <w:rPr>
        <w:rFonts w:ascii="Wingdings" w:hAnsi="Wingdings" w:hint="default"/>
      </w:rPr>
    </w:lvl>
    <w:lvl w:ilvl="4" w:tplc="31E454D8" w:tentative="1">
      <w:start w:val="1"/>
      <w:numFmt w:val="bullet"/>
      <w:lvlText w:val=""/>
      <w:lvlJc w:val="left"/>
      <w:pPr>
        <w:tabs>
          <w:tab w:val="num" w:pos="3600"/>
        </w:tabs>
        <w:ind w:left="3600" w:hanging="360"/>
      </w:pPr>
      <w:rPr>
        <w:rFonts w:ascii="Wingdings" w:hAnsi="Wingdings" w:hint="default"/>
      </w:rPr>
    </w:lvl>
    <w:lvl w:ilvl="5" w:tplc="69DECDE0" w:tentative="1">
      <w:start w:val="1"/>
      <w:numFmt w:val="bullet"/>
      <w:lvlText w:val=""/>
      <w:lvlJc w:val="left"/>
      <w:pPr>
        <w:tabs>
          <w:tab w:val="num" w:pos="4320"/>
        </w:tabs>
        <w:ind w:left="4320" w:hanging="360"/>
      </w:pPr>
      <w:rPr>
        <w:rFonts w:ascii="Wingdings" w:hAnsi="Wingdings" w:hint="default"/>
      </w:rPr>
    </w:lvl>
    <w:lvl w:ilvl="6" w:tplc="B300B0F4" w:tentative="1">
      <w:start w:val="1"/>
      <w:numFmt w:val="bullet"/>
      <w:lvlText w:val=""/>
      <w:lvlJc w:val="left"/>
      <w:pPr>
        <w:tabs>
          <w:tab w:val="num" w:pos="5040"/>
        </w:tabs>
        <w:ind w:left="5040" w:hanging="360"/>
      </w:pPr>
      <w:rPr>
        <w:rFonts w:ascii="Wingdings" w:hAnsi="Wingdings" w:hint="default"/>
      </w:rPr>
    </w:lvl>
    <w:lvl w:ilvl="7" w:tplc="04B61C48" w:tentative="1">
      <w:start w:val="1"/>
      <w:numFmt w:val="bullet"/>
      <w:lvlText w:val=""/>
      <w:lvlJc w:val="left"/>
      <w:pPr>
        <w:tabs>
          <w:tab w:val="num" w:pos="5760"/>
        </w:tabs>
        <w:ind w:left="5760" w:hanging="360"/>
      </w:pPr>
      <w:rPr>
        <w:rFonts w:ascii="Wingdings" w:hAnsi="Wingdings" w:hint="default"/>
      </w:rPr>
    </w:lvl>
    <w:lvl w:ilvl="8" w:tplc="444C84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7138AF"/>
    <w:multiLevelType w:val="hybridMultilevel"/>
    <w:tmpl w:val="8A94E940"/>
    <w:lvl w:ilvl="0" w:tplc="08090001">
      <w:start w:val="1"/>
      <w:numFmt w:val="bullet"/>
      <w:lvlText w:val=""/>
      <w:lvlJc w:val="left"/>
      <w:pPr>
        <w:tabs>
          <w:tab w:val="num" w:pos="720"/>
        </w:tabs>
        <w:ind w:left="720" w:hanging="360"/>
      </w:pPr>
      <w:rPr>
        <w:rFonts w:ascii="Symbol" w:hAnsi="Symbol" w:hint="default"/>
      </w:rPr>
    </w:lvl>
    <w:lvl w:ilvl="1" w:tplc="E18AFF44" w:tentative="1">
      <w:start w:val="1"/>
      <w:numFmt w:val="bullet"/>
      <w:lvlText w:val=""/>
      <w:lvlJc w:val="left"/>
      <w:pPr>
        <w:tabs>
          <w:tab w:val="num" w:pos="1440"/>
        </w:tabs>
        <w:ind w:left="1440" w:hanging="360"/>
      </w:pPr>
      <w:rPr>
        <w:rFonts w:ascii="Wingdings" w:hAnsi="Wingdings" w:hint="default"/>
      </w:rPr>
    </w:lvl>
    <w:lvl w:ilvl="2" w:tplc="6CB842F6" w:tentative="1">
      <w:start w:val="1"/>
      <w:numFmt w:val="bullet"/>
      <w:lvlText w:val=""/>
      <w:lvlJc w:val="left"/>
      <w:pPr>
        <w:tabs>
          <w:tab w:val="num" w:pos="2160"/>
        </w:tabs>
        <w:ind w:left="2160" w:hanging="360"/>
      </w:pPr>
      <w:rPr>
        <w:rFonts w:ascii="Wingdings" w:hAnsi="Wingdings" w:hint="default"/>
      </w:rPr>
    </w:lvl>
    <w:lvl w:ilvl="3" w:tplc="2B7EDC34" w:tentative="1">
      <w:start w:val="1"/>
      <w:numFmt w:val="bullet"/>
      <w:lvlText w:val=""/>
      <w:lvlJc w:val="left"/>
      <w:pPr>
        <w:tabs>
          <w:tab w:val="num" w:pos="2880"/>
        </w:tabs>
        <w:ind w:left="2880" w:hanging="360"/>
      </w:pPr>
      <w:rPr>
        <w:rFonts w:ascii="Wingdings" w:hAnsi="Wingdings" w:hint="default"/>
      </w:rPr>
    </w:lvl>
    <w:lvl w:ilvl="4" w:tplc="31E454D8" w:tentative="1">
      <w:start w:val="1"/>
      <w:numFmt w:val="bullet"/>
      <w:lvlText w:val=""/>
      <w:lvlJc w:val="left"/>
      <w:pPr>
        <w:tabs>
          <w:tab w:val="num" w:pos="3600"/>
        </w:tabs>
        <w:ind w:left="3600" w:hanging="360"/>
      </w:pPr>
      <w:rPr>
        <w:rFonts w:ascii="Wingdings" w:hAnsi="Wingdings" w:hint="default"/>
      </w:rPr>
    </w:lvl>
    <w:lvl w:ilvl="5" w:tplc="69DECDE0" w:tentative="1">
      <w:start w:val="1"/>
      <w:numFmt w:val="bullet"/>
      <w:lvlText w:val=""/>
      <w:lvlJc w:val="left"/>
      <w:pPr>
        <w:tabs>
          <w:tab w:val="num" w:pos="4320"/>
        </w:tabs>
        <w:ind w:left="4320" w:hanging="360"/>
      </w:pPr>
      <w:rPr>
        <w:rFonts w:ascii="Wingdings" w:hAnsi="Wingdings" w:hint="default"/>
      </w:rPr>
    </w:lvl>
    <w:lvl w:ilvl="6" w:tplc="B300B0F4" w:tentative="1">
      <w:start w:val="1"/>
      <w:numFmt w:val="bullet"/>
      <w:lvlText w:val=""/>
      <w:lvlJc w:val="left"/>
      <w:pPr>
        <w:tabs>
          <w:tab w:val="num" w:pos="5040"/>
        </w:tabs>
        <w:ind w:left="5040" w:hanging="360"/>
      </w:pPr>
      <w:rPr>
        <w:rFonts w:ascii="Wingdings" w:hAnsi="Wingdings" w:hint="default"/>
      </w:rPr>
    </w:lvl>
    <w:lvl w:ilvl="7" w:tplc="04B61C48" w:tentative="1">
      <w:start w:val="1"/>
      <w:numFmt w:val="bullet"/>
      <w:lvlText w:val=""/>
      <w:lvlJc w:val="left"/>
      <w:pPr>
        <w:tabs>
          <w:tab w:val="num" w:pos="5760"/>
        </w:tabs>
        <w:ind w:left="5760" w:hanging="360"/>
      </w:pPr>
      <w:rPr>
        <w:rFonts w:ascii="Wingdings" w:hAnsi="Wingdings" w:hint="default"/>
      </w:rPr>
    </w:lvl>
    <w:lvl w:ilvl="8" w:tplc="444C84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A7AAD"/>
    <w:multiLevelType w:val="hybridMultilevel"/>
    <w:tmpl w:val="35B6E594"/>
    <w:lvl w:ilvl="0" w:tplc="08090001">
      <w:start w:val="1"/>
      <w:numFmt w:val="bullet"/>
      <w:lvlText w:val=""/>
      <w:lvlJc w:val="left"/>
      <w:pPr>
        <w:ind w:left="720" w:hanging="360"/>
      </w:pPr>
      <w:rPr>
        <w:rFonts w:ascii="Symbol" w:hAnsi="Symbol" w:hint="default"/>
      </w:rPr>
    </w:lvl>
    <w:lvl w:ilvl="1" w:tplc="E7704AB8">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006A4"/>
    <w:multiLevelType w:val="hybridMultilevel"/>
    <w:tmpl w:val="E0666CEC"/>
    <w:lvl w:ilvl="0" w:tplc="08090001">
      <w:start w:val="1"/>
      <w:numFmt w:val="bullet"/>
      <w:lvlText w:val=""/>
      <w:lvlJc w:val="left"/>
      <w:pPr>
        <w:tabs>
          <w:tab w:val="num" w:pos="720"/>
        </w:tabs>
        <w:ind w:left="720" w:hanging="360"/>
      </w:pPr>
      <w:rPr>
        <w:rFonts w:ascii="Symbol" w:hAnsi="Symbol" w:hint="default"/>
      </w:rPr>
    </w:lvl>
    <w:lvl w:ilvl="1" w:tplc="CDC698F8" w:tentative="1">
      <w:start w:val="1"/>
      <w:numFmt w:val="decimal"/>
      <w:lvlText w:val="%2."/>
      <w:lvlJc w:val="left"/>
      <w:pPr>
        <w:tabs>
          <w:tab w:val="num" w:pos="1440"/>
        </w:tabs>
        <w:ind w:left="1440" w:hanging="360"/>
      </w:pPr>
    </w:lvl>
    <w:lvl w:ilvl="2" w:tplc="F9167CC0" w:tentative="1">
      <w:start w:val="1"/>
      <w:numFmt w:val="decimal"/>
      <w:lvlText w:val="%3."/>
      <w:lvlJc w:val="left"/>
      <w:pPr>
        <w:tabs>
          <w:tab w:val="num" w:pos="2160"/>
        </w:tabs>
        <w:ind w:left="2160" w:hanging="360"/>
      </w:pPr>
    </w:lvl>
    <w:lvl w:ilvl="3" w:tplc="761C70D8" w:tentative="1">
      <w:start w:val="1"/>
      <w:numFmt w:val="decimal"/>
      <w:lvlText w:val="%4."/>
      <w:lvlJc w:val="left"/>
      <w:pPr>
        <w:tabs>
          <w:tab w:val="num" w:pos="2880"/>
        </w:tabs>
        <w:ind w:left="2880" w:hanging="360"/>
      </w:pPr>
    </w:lvl>
    <w:lvl w:ilvl="4" w:tplc="8C2AA49C" w:tentative="1">
      <w:start w:val="1"/>
      <w:numFmt w:val="decimal"/>
      <w:lvlText w:val="%5."/>
      <w:lvlJc w:val="left"/>
      <w:pPr>
        <w:tabs>
          <w:tab w:val="num" w:pos="3600"/>
        </w:tabs>
        <w:ind w:left="3600" w:hanging="360"/>
      </w:pPr>
    </w:lvl>
    <w:lvl w:ilvl="5" w:tplc="76A2CA7E" w:tentative="1">
      <w:start w:val="1"/>
      <w:numFmt w:val="decimal"/>
      <w:lvlText w:val="%6."/>
      <w:lvlJc w:val="left"/>
      <w:pPr>
        <w:tabs>
          <w:tab w:val="num" w:pos="4320"/>
        </w:tabs>
        <w:ind w:left="4320" w:hanging="360"/>
      </w:pPr>
    </w:lvl>
    <w:lvl w:ilvl="6" w:tplc="E8466C3E" w:tentative="1">
      <w:start w:val="1"/>
      <w:numFmt w:val="decimal"/>
      <w:lvlText w:val="%7."/>
      <w:lvlJc w:val="left"/>
      <w:pPr>
        <w:tabs>
          <w:tab w:val="num" w:pos="5040"/>
        </w:tabs>
        <w:ind w:left="5040" w:hanging="360"/>
      </w:pPr>
    </w:lvl>
    <w:lvl w:ilvl="7" w:tplc="E5DAA240" w:tentative="1">
      <w:start w:val="1"/>
      <w:numFmt w:val="decimal"/>
      <w:lvlText w:val="%8."/>
      <w:lvlJc w:val="left"/>
      <w:pPr>
        <w:tabs>
          <w:tab w:val="num" w:pos="5760"/>
        </w:tabs>
        <w:ind w:left="5760" w:hanging="360"/>
      </w:pPr>
    </w:lvl>
    <w:lvl w:ilvl="8" w:tplc="0ADE5AE4"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1"/>
    <w:rsid w:val="0002651D"/>
    <w:rsid w:val="00030BB2"/>
    <w:rsid w:val="0007508D"/>
    <w:rsid w:val="0016034B"/>
    <w:rsid w:val="00175567"/>
    <w:rsid w:val="00180B91"/>
    <w:rsid w:val="001D0212"/>
    <w:rsid w:val="00247421"/>
    <w:rsid w:val="002D5A36"/>
    <w:rsid w:val="002F067A"/>
    <w:rsid w:val="00302BA3"/>
    <w:rsid w:val="00304463"/>
    <w:rsid w:val="003C042E"/>
    <w:rsid w:val="004665AA"/>
    <w:rsid w:val="006638F6"/>
    <w:rsid w:val="00666C57"/>
    <w:rsid w:val="00677651"/>
    <w:rsid w:val="006B1585"/>
    <w:rsid w:val="007A6883"/>
    <w:rsid w:val="008504A0"/>
    <w:rsid w:val="009317A9"/>
    <w:rsid w:val="009A0D9F"/>
    <w:rsid w:val="00A14B1D"/>
    <w:rsid w:val="00A27D29"/>
    <w:rsid w:val="00A6527F"/>
    <w:rsid w:val="00A842EA"/>
    <w:rsid w:val="00AE312B"/>
    <w:rsid w:val="00AE773A"/>
    <w:rsid w:val="00C220AB"/>
    <w:rsid w:val="00C74CA6"/>
    <w:rsid w:val="00D63DC1"/>
    <w:rsid w:val="00DD79EA"/>
    <w:rsid w:val="00DE08F0"/>
    <w:rsid w:val="00E47B80"/>
    <w:rsid w:val="00E770F9"/>
    <w:rsid w:val="00E85B5C"/>
    <w:rsid w:val="00F000A3"/>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625C3"/>
  <w15:chartTrackingRefBased/>
  <w15:docId w15:val="{41FC2E10-E8AC-4E5F-A748-2B8BE880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67A"/>
    <w:pPr>
      <w:outlineLvl w:val="0"/>
    </w:pPr>
    <w:rPr>
      <w:rFonts w:eastAsia="Calibri" w:cs="Times New Roman"/>
      <w:b/>
      <w:bCs/>
      <w:color w:val="1F3864" w:themeColor="accent5" w:themeShade="80"/>
      <w:sz w:val="22"/>
      <w:szCs w:val="22"/>
      <w:lang w:eastAsia="en-US"/>
    </w:rPr>
  </w:style>
  <w:style w:type="paragraph" w:styleId="Heading2">
    <w:name w:val="heading 2"/>
    <w:basedOn w:val="Normal"/>
    <w:next w:val="Normal"/>
    <w:link w:val="Heading2Char"/>
    <w:uiPriority w:val="9"/>
    <w:unhideWhenUsed/>
    <w:qFormat/>
    <w:rsid w:val="002F067A"/>
    <w:pPr>
      <w:outlineLvl w:val="1"/>
    </w:pPr>
    <w:rPr>
      <w:rFonts w:eastAsia="Calibri" w:cs="Times New Roman"/>
      <w:b/>
      <w:bCs/>
      <w:color w:val="1F3864" w:themeColor="accent5"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77651"/>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3A"/>
    <w:rPr>
      <w:rFonts w:ascii="Segoe UI" w:hAnsi="Segoe UI" w:cs="Segoe UI"/>
      <w:sz w:val="18"/>
      <w:szCs w:val="18"/>
    </w:rPr>
  </w:style>
  <w:style w:type="character" w:styleId="CommentReference">
    <w:name w:val="annotation reference"/>
    <w:basedOn w:val="DefaultParagraphFont"/>
    <w:uiPriority w:val="99"/>
    <w:semiHidden/>
    <w:unhideWhenUsed/>
    <w:rsid w:val="00A14B1D"/>
    <w:rPr>
      <w:sz w:val="16"/>
      <w:szCs w:val="16"/>
    </w:rPr>
  </w:style>
  <w:style w:type="paragraph" w:styleId="CommentText">
    <w:name w:val="annotation text"/>
    <w:basedOn w:val="Normal"/>
    <w:link w:val="CommentTextChar"/>
    <w:uiPriority w:val="99"/>
    <w:semiHidden/>
    <w:unhideWhenUsed/>
    <w:rsid w:val="00A14B1D"/>
    <w:pPr>
      <w:spacing w:line="240" w:lineRule="auto"/>
    </w:pPr>
    <w:rPr>
      <w:sz w:val="20"/>
      <w:szCs w:val="20"/>
    </w:rPr>
  </w:style>
  <w:style w:type="character" w:customStyle="1" w:styleId="CommentTextChar">
    <w:name w:val="Comment Text Char"/>
    <w:basedOn w:val="DefaultParagraphFont"/>
    <w:link w:val="CommentText"/>
    <w:uiPriority w:val="99"/>
    <w:semiHidden/>
    <w:rsid w:val="00A14B1D"/>
    <w:rPr>
      <w:sz w:val="20"/>
      <w:szCs w:val="20"/>
    </w:rPr>
  </w:style>
  <w:style w:type="paragraph" w:styleId="CommentSubject">
    <w:name w:val="annotation subject"/>
    <w:basedOn w:val="CommentText"/>
    <w:next w:val="CommentText"/>
    <w:link w:val="CommentSubjectChar"/>
    <w:uiPriority w:val="99"/>
    <w:semiHidden/>
    <w:unhideWhenUsed/>
    <w:rsid w:val="00A14B1D"/>
    <w:rPr>
      <w:b/>
      <w:bCs/>
    </w:rPr>
  </w:style>
  <w:style w:type="character" w:customStyle="1" w:styleId="CommentSubjectChar">
    <w:name w:val="Comment Subject Char"/>
    <w:basedOn w:val="CommentTextChar"/>
    <w:link w:val="CommentSubject"/>
    <w:uiPriority w:val="99"/>
    <w:semiHidden/>
    <w:rsid w:val="00A14B1D"/>
    <w:rPr>
      <w:b/>
      <w:bCs/>
      <w:sz w:val="20"/>
      <w:szCs w:val="20"/>
    </w:rPr>
  </w:style>
  <w:style w:type="paragraph" w:styleId="ListParagraph">
    <w:name w:val="List Paragraph"/>
    <w:basedOn w:val="Normal"/>
    <w:uiPriority w:val="34"/>
    <w:qFormat/>
    <w:rsid w:val="006638F6"/>
    <w:pPr>
      <w:ind w:left="720"/>
      <w:contextualSpacing/>
    </w:pPr>
  </w:style>
  <w:style w:type="paragraph" w:styleId="Title">
    <w:name w:val="Title"/>
    <w:basedOn w:val="Normal"/>
    <w:next w:val="Normal"/>
    <w:link w:val="TitleChar"/>
    <w:uiPriority w:val="10"/>
    <w:qFormat/>
    <w:rsid w:val="002F067A"/>
    <w:pPr>
      <w:jc w:val="center"/>
    </w:pPr>
    <w:rPr>
      <w:rFonts w:eastAsia="Calibri" w:cs="Times New Roman"/>
      <w:b/>
      <w:bCs/>
      <w:color w:val="1F3864" w:themeColor="accent5" w:themeShade="80"/>
      <w:sz w:val="30"/>
      <w:szCs w:val="22"/>
      <w:lang w:eastAsia="en-US"/>
    </w:rPr>
  </w:style>
  <w:style w:type="character" w:customStyle="1" w:styleId="TitleChar">
    <w:name w:val="Title Char"/>
    <w:basedOn w:val="DefaultParagraphFont"/>
    <w:link w:val="Title"/>
    <w:uiPriority w:val="10"/>
    <w:rsid w:val="002F067A"/>
    <w:rPr>
      <w:rFonts w:eastAsia="Calibri" w:cs="Times New Roman"/>
      <w:b/>
      <w:bCs/>
      <w:color w:val="1F3864" w:themeColor="accent5" w:themeShade="80"/>
      <w:sz w:val="30"/>
      <w:szCs w:val="22"/>
      <w:lang w:eastAsia="en-US"/>
    </w:rPr>
  </w:style>
  <w:style w:type="character" w:customStyle="1" w:styleId="Heading1Char">
    <w:name w:val="Heading 1 Char"/>
    <w:basedOn w:val="DefaultParagraphFont"/>
    <w:link w:val="Heading1"/>
    <w:uiPriority w:val="9"/>
    <w:rsid w:val="002F067A"/>
    <w:rPr>
      <w:rFonts w:eastAsia="Calibri" w:cs="Times New Roman"/>
      <w:b/>
      <w:bCs/>
      <w:color w:val="1F3864" w:themeColor="accent5" w:themeShade="80"/>
      <w:sz w:val="22"/>
      <w:szCs w:val="22"/>
      <w:lang w:eastAsia="en-US"/>
    </w:rPr>
  </w:style>
  <w:style w:type="character" w:customStyle="1" w:styleId="Heading2Char">
    <w:name w:val="Heading 2 Char"/>
    <w:basedOn w:val="DefaultParagraphFont"/>
    <w:link w:val="Heading2"/>
    <w:uiPriority w:val="9"/>
    <w:rsid w:val="002F067A"/>
    <w:rPr>
      <w:rFonts w:eastAsia="Calibri" w:cs="Times New Roman"/>
      <w:b/>
      <w:bCs/>
      <w:color w:val="1F3864" w:themeColor="accent5" w:themeShade="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004602">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lt.org.uk/Portals/24/Library/slr/issues/33/33-02%20Hofweber-Graham.pdf" TargetMode="External"/><Relationship Id="rId13" Type="http://schemas.openxmlformats.org/officeDocument/2006/relationships/hyperlink" Target="https://doi.org/10.1177/13621688080899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scovery.ucl.ac.uk/10019165/" TargetMode="External"/><Relationship Id="rId12" Type="http://schemas.openxmlformats.org/officeDocument/2006/relationships/hyperlink" Target="http://journals.sagepub.com/home/l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journal/146799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doi:10.1093/applin/amm023"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academic.oup.com/applij/" TargetMode="External"/><Relationship Id="rId14" Type="http://schemas.openxmlformats.org/officeDocument/2006/relationships/hyperlink" Target="https://onlinelibrary.wiley.com/journal/154047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Wendy Burns</cp:lastModifiedBy>
  <cp:revision>6</cp:revision>
  <dcterms:created xsi:type="dcterms:W3CDTF">2019-08-10T12:48:00Z</dcterms:created>
  <dcterms:modified xsi:type="dcterms:W3CDTF">2019-11-21T21:44:00Z</dcterms:modified>
</cp:coreProperties>
</file>